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F00" w:rsidRPr="002D6992" w:rsidRDefault="002D6992" w:rsidP="002D6992">
      <w:pPr>
        <w:autoSpaceDE w:val="0"/>
        <w:autoSpaceDN w:val="0"/>
        <w:adjustRightInd w:val="0"/>
        <w:spacing w:line="360" w:lineRule="auto"/>
        <w:rPr>
          <w:rFonts w:ascii="黑体" w:eastAsia="黑体" w:hAnsi="黑体"/>
          <w:kern w:val="0"/>
          <w:sz w:val="32"/>
          <w:szCs w:val="32"/>
        </w:rPr>
      </w:pPr>
      <w:r w:rsidRPr="002D6992">
        <w:rPr>
          <w:rFonts w:ascii="黑体" w:eastAsia="黑体" w:hAnsi="黑体" w:hint="eastAsia"/>
          <w:kern w:val="0"/>
          <w:sz w:val="32"/>
          <w:szCs w:val="32"/>
        </w:rPr>
        <w:t>附件</w:t>
      </w:r>
    </w:p>
    <w:p w:rsidR="00D06F00" w:rsidRDefault="00D06F00" w:rsidP="00D06F00">
      <w:pPr>
        <w:autoSpaceDE w:val="0"/>
        <w:autoSpaceDN w:val="0"/>
        <w:adjustRightInd w:val="0"/>
        <w:spacing w:line="360" w:lineRule="auto"/>
        <w:jc w:val="center"/>
        <w:rPr>
          <w:rFonts w:ascii="Times New Roman" w:hAnsi="Times New Roman"/>
          <w:kern w:val="0"/>
          <w:sz w:val="24"/>
          <w:szCs w:val="24"/>
        </w:rPr>
      </w:pPr>
    </w:p>
    <w:p w:rsidR="00D06F00" w:rsidRDefault="00D06F00" w:rsidP="00D06F00">
      <w:pPr>
        <w:autoSpaceDE w:val="0"/>
        <w:autoSpaceDN w:val="0"/>
        <w:adjustRightInd w:val="0"/>
        <w:spacing w:line="360" w:lineRule="auto"/>
        <w:jc w:val="center"/>
        <w:rPr>
          <w:rFonts w:ascii="Times New Roman" w:hAnsi="Times New Roman"/>
          <w:kern w:val="0"/>
          <w:sz w:val="24"/>
          <w:szCs w:val="24"/>
        </w:rPr>
      </w:pPr>
    </w:p>
    <w:p w:rsidR="009A4301" w:rsidRDefault="009A4301" w:rsidP="00D06F00">
      <w:pPr>
        <w:autoSpaceDE w:val="0"/>
        <w:autoSpaceDN w:val="0"/>
        <w:adjustRightInd w:val="0"/>
        <w:spacing w:line="360" w:lineRule="auto"/>
        <w:jc w:val="center"/>
        <w:rPr>
          <w:rFonts w:ascii="Times New Roman" w:hAnsi="Times New Roman"/>
          <w:kern w:val="0"/>
          <w:sz w:val="24"/>
          <w:szCs w:val="24"/>
        </w:rPr>
      </w:pPr>
    </w:p>
    <w:p w:rsidR="009A4301" w:rsidRDefault="009A4301" w:rsidP="00D06F00">
      <w:pPr>
        <w:autoSpaceDE w:val="0"/>
        <w:autoSpaceDN w:val="0"/>
        <w:adjustRightInd w:val="0"/>
        <w:spacing w:line="360" w:lineRule="auto"/>
        <w:jc w:val="center"/>
        <w:rPr>
          <w:rFonts w:ascii="Times New Roman" w:hAnsi="Times New Roman"/>
          <w:kern w:val="0"/>
          <w:sz w:val="24"/>
          <w:szCs w:val="24"/>
        </w:rPr>
      </w:pPr>
    </w:p>
    <w:p w:rsidR="009A4301" w:rsidRDefault="009A4301" w:rsidP="00D06F00">
      <w:pPr>
        <w:autoSpaceDE w:val="0"/>
        <w:autoSpaceDN w:val="0"/>
        <w:adjustRightInd w:val="0"/>
        <w:spacing w:line="360" w:lineRule="auto"/>
        <w:jc w:val="center"/>
        <w:rPr>
          <w:rFonts w:ascii="Times New Roman" w:hAnsi="Times New Roman"/>
          <w:kern w:val="0"/>
          <w:sz w:val="24"/>
          <w:szCs w:val="24"/>
        </w:rPr>
      </w:pPr>
    </w:p>
    <w:p w:rsidR="009A4301" w:rsidRDefault="009A4301" w:rsidP="00D06F00">
      <w:pPr>
        <w:autoSpaceDE w:val="0"/>
        <w:autoSpaceDN w:val="0"/>
        <w:adjustRightInd w:val="0"/>
        <w:spacing w:line="360" w:lineRule="auto"/>
        <w:jc w:val="center"/>
        <w:rPr>
          <w:rFonts w:ascii="Times New Roman" w:hAnsi="Times New Roman"/>
          <w:kern w:val="0"/>
          <w:sz w:val="24"/>
          <w:szCs w:val="24"/>
        </w:rPr>
      </w:pPr>
    </w:p>
    <w:p w:rsidR="009A4301" w:rsidRDefault="009A4301" w:rsidP="00D06F00">
      <w:pPr>
        <w:autoSpaceDE w:val="0"/>
        <w:autoSpaceDN w:val="0"/>
        <w:adjustRightInd w:val="0"/>
        <w:spacing w:line="360" w:lineRule="auto"/>
        <w:jc w:val="center"/>
        <w:rPr>
          <w:rFonts w:ascii="Times New Roman" w:hAnsi="Times New Roman"/>
          <w:kern w:val="0"/>
          <w:sz w:val="24"/>
          <w:szCs w:val="24"/>
        </w:rPr>
      </w:pPr>
    </w:p>
    <w:p w:rsidR="009A4301" w:rsidRDefault="009A4301" w:rsidP="00D06F00">
      <w:pPr>
        <w:autoSpaceDE w:val="0"/>
        <w:autoSpaceDN w:val="0"/>
        <w:adjustRightInd w:val="0"/>
        <w:spacing w:line="360" w:lineRule="auto"/>
        <w:jc w:val="center"/>
        <w:rPr>
          <w:rFonts w:ascii="Times New Roman" w:hAnsi="Times New Roman"/>
          <w:kern w:val="0"/>
          <w:sz w:val="24"/>
          <w:szCs w:val="24"/>
        </w:rPr>
      </w:pPr>
    </w:p>
    <w:p w:rsidR="009A4301" w:rsidRDefault="009A4301" w:rsidP="00D06F00">
      <w:pPr>
        <w:autoSpaceDE w:val="0"/>
        <w:autoSpaceDN w:val="0"/>
        <w:adjustRightInd w:val="0"/>
        <w:spacing w:line="360" w:lineRule="auto"/>
        <w:jc w:val="center"/>
        <w:rPr>
          <w:rFonts w:ascii="Times New Roman" w:hAnsi="Times New Roman"/>
          <w:kern w:val="0"/>
          <w:sz w:val="24"/>
          <w:szCs w:val="24"/>
        </w:rPr>
      </w:pPr>
    </w:p>
    <w:p w:rsidR="009A4301" w:rsidRDefault="009A4301" w:rsidP="00D06F00">
      <w:pPr>
        <w:autoSpaceDE w:val="0"/>
        <w:autoSpaceDN w:val="0"/>
        <w:adjustRightInd w:val="0"/>
        <w:spacing w:line="360" w:lineRule="auto"/>
        <w:jc w:val="center"/>
        <w:rPr>
          <w:rFonts w:ascii="Times New Roman" w:hAnsi="Times New Roman"/>
          <w:kern w:val="0"/>
          <w:sz w:val="24"/>
          <w:szCs w:val="24"/>
        </w:rPr>
      </w:pPr>
    </w:p>
    <w:p w:rsidR="00D06F00" w:rsidRDefault="00D06F00" w:rsidP="00D06F00">
      <w:pPr>
        <w:autoSpaceDE w:val="0"/>
        <w:autoSpaceDN w:val="0"/>
        <w:adjustRightInd w:val="0"/>
        <w:spacing w:line="360" w:lineRule="auto"/>
        <w:jc w:val="center"/>
        <w:rPr>
          <w:rFonts w:ascii="Times New Roman" w:hAnsi="Times New Roman"/>
          <w:kern w:val="0"/>
          <w:sz w:val="24"/>
          <w:szCs w:val="24"/>
        </w:rPr>
      </w:pPr>
    </w:p>
    <w:p w:rsidR="009A4301" w:rsidRDefault="009A4301" w:rsidP="009A4301">
      <w:pPr>
        <w:adjustRightInd w:val="0"/>
        <w:snapToGrid w:val="0"/>
        <w:spacing w:line="360" w:lineRule="auto"/>
        <w:jc w:val="center"/>
        <w:rPr>
          <w:rFonts w:ascii="方正小标宋简体" w:eastAsia="方正小标宋简体" w:hAnsi="黑体"/>
          <w:sz w:val="48"/>
          <w:szCs w:val="48"/>
        </w:rPr>
      </w:pPr>
      <w:r w:rsidRPr="0033485B">
        <w:rPr>
          <w:rFonts w:ascii="方正小标宋简体" w:eastAsia="方正小标宋简体" w:hAnsi="黑体" w:hint="eastAsia"/>
          <w:sz w:val="48"/>
          <w:szCs w:val="48"/>
        </w:rPr>
        <w:t>化学原料药行业清洁生产评价指标体系</w:t>
      </w:r>
    </w:p>
    <w:p w:rsidR="009A4301" w:rsidRPr="0033485B" w:rsidRDefault="009A4301" w:rsidP="009A4301">
      <w:pPr>
        <w:adjustRightInd w:val="0"/>
        <w:snapToGrid w:val="0"/>
        <w:spacing w:line="360" w:lineRule="auto"/>
        <w:jc w:val="center"/>
        <w:rPr>
          <w:rFonts w:ascii="方正小标宋简体" w:eastAsia="方正小标宋简体" w:hAnsi="Times New Roman"/>
          <w:sz w:val="48"/>
          <w:szCs w:val="48"/>
        </w:rPr>
      </w:pPr>
      <w:r w:rsidRPr="009A4301">
        <w:rPr>
          <w:rFonts w:ascii="方正小标宋简体" w:eastAsia="方正小标宋简体" w:hAnsi="黑体" w:hint="eastAsia"/>
          <w:sz w:val="48"/>
          <w:szCs w:val="48"/>
        </w:rPr>
        <w:t>（征求意见稿）</w:t>
      </w:r>
      <w:r>
        <w:rPr>
          <w:rFonts w:ascii="方正小标宋简体" w:eastAsia="方正小标宋简体" w:hAnsi="黑体" w:hint="eastAsia"/>
          <w:sz w:val="48"/>
          <w:szCs w:val="48"/>
        </w:rPr>
        <w:t>编制说明</w:t>
      </w:r>
    </w:p>
    <w:p w:rsidR="00D06F00" w:rsidRPr="009A4301" w:rsidRDefault="00D06F00" w:rsidP="00D06F00">
      <w:pPr>
        <w:autoSpaceDE w:val="0"/>
        <w:autoSpaceDN w:val="0"/>
        <w:adjustRightInd w:val="0"/>
        <w:spacing w:line="360" w:lineRule="auto"/>
        <w:jc w:val="center"/>
        <w:rPr>
          <w:rFonts w:ascii="Times New Roman" w:hAnsi="Times New Roman"/>
          <w:kern w:val="0"/>
          <w:sz w:val="32"/>
          <w:szCs w:val="32"/>
        </w:rPr>
      </w:pPr>
    </w:p>
    <w:p w:rsidR="00D06F00" w:rsidRDefault="00D06F00" w:rsidP="00D06F00">
      <w:pPr>
        <w:autoSpaceDE w:val="0"/>
        <w:autoSpaceDN w:val="0"/>
        <w:adjustRightInd w:val="0"/>
        <w:spacing w:line="360" w:lineRule="auto"/>
        <w:jc w:val="center"/>
        <w:rPr>
          <w:rFonts w:ascii="Times New Roman" w:hAnsi="Times New Roman"/>
          <w:kern w:val="0"/>
          <w:sz w:val="32"/>
          <w:szCs w:val="32"/>
        </w:rPr>
      </w:pPr>
    </w:p>
    <w:p w:rsidR="00D06F00" w:rsidRDefault="00D06F00" w:rsidP="00D06F00">
      <w:pPr>
        <w:autoSpaceDE w:val="0"/>
        <w:autoSpaceDN w:val="0"/>
        <w:adjustRightInd w:val="0"/>
        <w:spacing w:line="360" w:lineRule="auto"/>
        <w:jc w:val="center"/>
        <w:rPr>
          <w:rFonts w:ascii="Times New Roman" w:hAnsi="Times New Roman"/>
          <w:kern w:val="0"/>
          <w:sz w:val="32"/>
          <w:szCs w:val="32"/>
        </w:rPr>
      </w:pPr>
    </w:p>
    <w:p w:rsidR="00D06F00" w:rsidRDefault="00D06F00" w:rsidP="00D06F00">
      <w:pPr>
        <w:autoSpaceDE w:val="0"/>
        <w:autoSpaceDN w:val="0"/>
        <w:adjustRightInd w:val="0"/>
        <w:spacing w:line="360" w:lineRule="auto"/>
        <w:jc w:val="center"/>
        <w:rPr>
          <w:rFonts w:ascii="Times New Roman" w:hAnsi="Times New Roman"/>
          <w:kern w:val="0"/>
          <w:sz w:val="32"/>
          <w:szCs w:val="32"/>
        </w:rPr>
      </w:pPr>
    </w:p>
    <w:p w:rsidR="009A4301" w:rsidRDefault="009A4301" w:rsidP="00D06F00">
      <w:pPr>
        <w:autoSpaceDE w:val="0"/>
        <w:autoSpaceDN w:val="0"/>
        <w:adjustRightInd w:val="0"/>
        <w:spacing w:line="360" w:lineRule="auto"/>
        <w:jc w:val="center"/>
        <w:rPr>
          <w:rFonts w:ascii="Times New Roman" w:hAnsi="Times New Roman"/>
          <w:kern w:val="0"/>
          <w:sz w:val="32"/>
          <w:szCs w:val="32"/>
        </w:rPr>
      </w:pPr>
    </w:p>
    <w:p w:rsidR="009A4301" w:rsidRDefault="009A4301" w:rsidP="00D06F00">
      <w:pPr>
        <w:autoSpaceDE w:val="0"/>
        <w:autoSpaceDN w:val="0"/>
        <w:adjustRightInd w:val="0"/>
        <w:spacing w:line="360" w:lineRule="auto"/>
        <w:jc w:val="center"/>
        <w:rPr>
          <w:rFonts w:ascii="Times New Roman" w:hAnsi="Times New Roman"/>
          <w:kern w:val="0"/>
          <w:sz w:val="32"/>
          <w:szCs w:val="32"/>
        </w:rPr>
      </w:pPr>
    </w:p>
    <w:p w:rsidR="0077639D" w:rsidRDefault="0077639D" w:rsidP="00D06F00">
      <w:pPr>
        <w:autoSpaceDE w:val="0"/>
        <w:autoSpaceDN w:val="0"/>
        <w:adjustRightInd w:val="0"/>
        <w:spacing w:line="360" w:lineRule="auto"/>
        <w:jc w:val="center"/>
        <w:rPr>
          <w:rFonts w:ascii="Times New Roman" w:hAnsi="Times New Roman"/>
          <w:kern w:val="0"/>
          <w:sz w:val="32"/>
          <w:szCs w:val="32"/>
        </w:rPr>
      </w:pPr>
    </w:p>
    <w:p w:rsidR="0077639D" w:rsidRPr="009A4301" w:rsidRDefault="0077639D" w:rsidP="00D06F00">
      <w:pPr>
        <w:autoSpaceDE w:val="0"/>
        <w:autoSpaceDN w:val="0"/>
        <w:adjustRightInd w:val="0"/>
        <w:spacing w:line="360" w:lineRule="auto"/>
        <w:jc w:val="center"/>
        <w:rPr>
          <w:rFonts w:ascii="Times New Roman" w:hAnsi="Times New Roman"/>
          <w:kern w:val="0"/>
          <w:sz w:val="32"/>
          <w:szCs w:val="32"/>
        </w:rPr>
      </w:pPr>
    </w:p>
    <w:p w:rsidR="00D06F00" w:rsidRDefault="00D06F00" w:rsidP="00D06F00">
      <w:pPr>
        <w:autoSpaceDE w:val="0"/>
        <w:autoSpaceDN w:val="0"/>
        <w:adjustRightInd w:val="0"/>
        <w:spacing w:line="360" w:lineRule="auto"/>
        <w:jc w:val="center"/>
        <w:rPr>
          <w:rFonts w:ascii="Times New Roman" w:hAnsi="Times New Roman"/>
          <w:kern w:val="0"/>
          <w:sz w:val="32"/>
          <w:szCs w:val="32"/>
        </w:rPr>
      </w:pPr>
    </w:p>
    <w:p w:rsidR="00D06F00" w:rsidRPr="00DD60BC" w:rsidRDefault="001021D6" w:rsidP="00D06F00">
      <w:pPr>
        <w:autoSpaceDE w:val="0"/>
        <w:autoSpaceDN w:val="0"/>
        <w:adjustRightInd w:val="0"/>
        <w:spacing w:line="360" w:lineRule="auto"/>
        <w:jc w:val="center"/>
        <w:rPr>
          <w:rFonts w:ascii="Times New Roman" w:eastAsia="楷体_GB2312" w:hAnsi="Times New Roman"/>
          <w:kern w:val="0"/>
          <w:sz w:val="32"/>
          <w:szCs w:val="32"/>
        </w:rPr>
      </w:pPr>
      <w:r w:rsidRPr="00DD60BC">
        <w:rPr>
          <w:rFonts w:ascii="Times New Roman" w:eastAsia="楷体_GB2312" w:hAnsi="Times New Roman"/>
          <w:kern w:val="0"/>
          <w:sz w:val="32"/>
          <w:szCs w:val="32"/>
        </w:rPr>
        <w:t>《化学原料药行业清洁生产评价指标体系》编制</w:t>
      </w:r>
      <w:r w:rsidR="00D06F00" w:rsidRPr="00DD60BC">
        <w:rPr>
          <w:rFonts w:ascii="Times New Roman" w:eastAsia="楷体_GB2312" w:hAnsi="Times New Roman"/>
          <w:kern w:val="0"/>
          <w:sz w:val="32"/>
          <w:szCs w:val="32"/>
        </w:rPr>
        <w:t>组</w:t>
      </w:r>
    </w:p>
    <w:p w:rsidR="00822F4E" w:rsidRDefault="001021D6" w:rsidP="00D06F00">
      <w:pPr>
        <w:autoSpaceDE w:val="0"/>
        <w:autoSpaceDN w:val="0"/>
        <w:adjustRightInd w:val="0"/>
        <w:spacing w:line="360" w:lineRule="auto"/>
        <w:jc w:val="center"/>
        <w:rPr>
          <w:rFonts w:ascii="Times New Roman" w:eastAsia="楷体_GB2312" w:hAnsi="Times New Roman"/>
          <w:kern w:val="0"/>
          <w:sz w:val="32"/>
          <w:szCs w:val="32"/>
        </w:rPr>
        <w:sectPr w:rsidR="00822F4E" w:rsidSect="00F91964">
          <w:footerReference w:type="default" r:id="rId8"/>
          <w:pgSz w:w="11906" w:h="16838"/>
          <w:pgMar w:top="1418" w:right="1418" w:bottom="1418" w:left="1418" w:header="851" w:footer="1247" w:gutter="0"/>
          <w:cols w:space="425"/>
          <w:titlePg/>
          <w:docGrid w:linePitch="312"/>
        </w:sectPr>
      </w:pPr>
      <w:r w:rsidRPr="00DD60BC">
        <w:rPr>
          <w:rFonts w:ascii="Times New Roman" w:eastAsia="楷体_GB2312" w:hAnsi="Times New Roman"/>
          <w:kern w:val="0"/>
          <w:sz w:val="32"/>
          <w:szCs w:val="32"/>
        </w:rPr>
        <w:t>2016</w:t>
      </w:r>
      <w:r w:rsidR="00D06F00" w:rsidRPr="00DD60BC">
        <w:rPr>
          <w:rFonts w:ascii="Times New Roman" w:eastAsia="楷体_GB2312" w:hAnsi="Times New Roman"/>
          <w:kern w:val="0"/>
          <w:sz w:val="32"/>
          <w:szCs w:val="32"/>
        </w:rPr>
        <w:t>年</w:t>
      </w:r>
      <w:r w:rsidR="007908C6">
        <w:rPr>
          <w:rFonts w:ascii="Times New Roman" w:eastAsia="楷体_GB2312" w:hAnsi="Times New Roman" w:hint="eastAsia"/>
          <w:kern w:val="0"/>
          <w:sz w:val="32"/>
          <w:szCs w:val="32"/>
        </w:rPr>
        <w:t>8</w:t>
      </w:r>
      <w:r w:rsidR="007908C6">
        <w:rPr>
          <w:rFonts w:ascii="Times New Roman" w:eastAsia="楷体_GB2312" w:hAnsi="Times New Roman" w:hint="eastAsia"/>
          <w:kern w:val="0"/>
          <w:sz w:val="32"/>
          <w:szCs w:val="32"/>
        </w:rPr>
        <w:t>月</w:t>
      </w:r>
      <w:bookmarkStart w:id="0" w:name="_GoBack"/>
      <w:bookmarkEnd w:id="0"/>
    </w:p>
    <w:p w:rsidR="00D06F00" w:rsidRPr="00DD60BC" w:rsidRDefault="00D06F00" w:rsidP="00D06F00">
      <w:pPr>
        <w:autoSpaceDE w:val="0"/>
        <w:autoSpaceDN w:val="0"/>
        <w:adjustRightInd w:val="0"/>
        <w:spacing w:line="360" w:lineRule="auto"/>
        <w:jc w:val="center"/>
        <w:rPr>
          <w:rFonts w:ascii="Times New Roman" w:eastAsia="楷体_GB2312" w:hAnsi="Times New Roman"/>
          <w:kern w:val="0"/>
          <w:sz w:val="32"/>
          <w:szCs w:val="32"/>
        </w:rPr>
      </w:pPr>
    </w:p>
    <w:bookmarkStart w:id="1" w:name="_Toc462317569" w:displacedByCustomXml="next"/>
    <w:sdt>
      <w:sdtPr>
        <w:rPr>
          <w:rFonts w:ascii="Calibri" w:eastAsia="宋体" w:hAnsi="Calibri" w:cs="Times New Roman"/>
          <w:b w:val="0"/>
          <w:bCs w:val="0"/>
          <w:color w:val="auto"/>
          <w:kern w:val="2"/>
          <w:sz w:val="21"/>
          <w:szCs w:val="22"/>
          <w:lang w:val="zh-CN"/>
        </w:rPr>
        <w:id w:val="311524833"/>
        <w:docPartObj>
          <w:docPartGallery w:val="Table of Contents"/>
          <w:docPartUnique/>
        </w:docPartObj>
      </w:sdtPr>
      <w:sdtEndPr/>
      <w:sdtContent>
        <w:p w:rsidR="00CA55DB" w:rsidRDefault="00CA55DB" w:rsidP="00CA55DB">
          <w:pPr>
            <w:pStyle w:val="TOC"/>
            <w:jc w:val="center"/>
          </w:pPr>
          <w:r>
            <w:rPr>
              <w:lang w:val="zh-CN"/>
            </w:rPr>
            <w:t>目录</w:t>
          </w:r>
        </w:p>
        <w:p w:rsidR="00CA55DB" w:rsidRPr="00CB7EDE" w:rsidRDefault="00EF3207" w:rsidP="00CB7EDE">
          <w:pPr>
            <w:pStyle w:val="10"/>
            <w:tabs>
              <w:tab w:val="right" w:leader="dot" w:pos="9060"/>
            </w:tabs>
            <w:spacing w:line="360" w:lineRule="auto"/>
            <w:rPr>
              <w:rFonts w:asciiTheme="minorEastAsia" w:eastAsiaTheme="minorEastAsia" w:hAnsiTheme="minorEastAsia" w:cstheme="minorBidi"/>
              <w:noProof/>
            </w:rPr>
          </w:pPr>
          <w:r w:rsidRPr="00CB7EDE">
            <w:rPr>
              <w:rFonts w:asciiTheme="minorEastAsia" w:eastAsiaTheme="minorEastAsia" w:hAnsiTheme="minorEastAsia"/>
            </w:rPr>
            <w:fldChar w:fldCharType="begin"/>
          </w:r>
          <w:r w:rsidR="00CA55DB" w:rsidRPr="00CB7EDE">
            <w:rPr>
              <w:rFonts w:asciiTheme="minorEastAsia" w:eastAsiaTheme="minorEastAsia" w:hAnsiTheme="minorEastAsia"/>
            </w:rPr>
            <w:instrText xml:space="preserve"> TOC \o "1-3" \h \z \u </w:instrText>
          </w:r>
          <w:r w:rsidRPr="00CB7EDE">
            <w:rPr>
              <w:rFonts w:asciiTheme="minorEastAsia" w:eastAsiaTheme="minorEastAsia" w:hAnsiTheme="minorEastAsia"/>
            </w:rPr>
            <w:fldChar w:fldCharType="separate"/>
          </w:r>
          <w:hyperlink w:anchor="_Toc462317675" w:history="1">
            <w:r w:rsidR="00CA55DB" w:rsidRPr="00CB7EDE">
              <w:rPr>
                <w:rStyle w:val="a3"/>
                <w:rFonts w:asciiTheme="minorEastAsia" w:eastAsiaTheme="minorEastAsia" w:hAnsiTheme="minorEastAsia"/>
                <w:noProof/>
                <w:kern w:val="0"/>
              </w:rPr>
              <w:t>1.</w:t>
            </w:r>
            <w:r w:rsidR="00CA55DB" w:rsidRPr="00CB7EDE">
              <w:rPr>
                <w:rStyle w:val="a3"/>
                <w:rFonts w:asciiTheme="minorEastAsia" w:eastAsiaTheme="minorEastAsia" w:hAnsiTheme="minorEastAsia" w:hint="eastAsia"/>
                <w:noProof/>
                <w:kern w:val="0"/>
              </w:rPr>
              <w:t>前言</w:t>
            </w:r>
            <w:r w:rsidR="00CA55DB" w:rsidRPr="00CB7EDE">
              <w:rPr>
                <w:rFonts w:asciiTheme="minorEastAsia" w:eastAsiaTheme="minorEastAsia" w:hAnsiTheme="minorEastAsia"/>
                <w:noProof/>
                <w:webHidden/>
              </w:rPr>
              <w:tab/>
            </w:r>
            <w:r w:rsidRPr="00CB7EDE">
              <w:rPr>
                <w:rFonts w:asciiTheme="minorEastAsia" w:eastAsiaTheme="minorEastAsia" w:hAnsiTheme="minorEastAsia"/>
                <w:noProof/>
                <w:webHidden/>
              </w:rPr>
              <w:fldChar w:fldCharType="begin"/>
            </w:r>
            <w:r w:rsidR="00CA55DB" w:rsidRPr="00CB7EDE">
              <w:rPr>
                <w:rFonts w:asciiTheme="minorEastAsia" w:eastAsiaTheme="minorEastAsia" w:hAnsiTheme="minorEastAsia"/>
                <w:noProof/>
                <w:webHidden/>
              </w:rPr>
              <w:instrText xml:space="preserve"> PAGEREF _Toc462317675 \h </w:instrText>
            </w:r>
            <w:r w:rsidRPr="00CB7EDE">
              <w:rPr>
                <w:rFonts w:asciiTheme="minorEastAsia" w:eastAsiaTheme="minorEastAsia" w:hAnsiTheme="minorEastAsia"/>
                <w:noProof/>
                <w:webHidden/>
              </w:rPr>
            </w:r>
            <w:r w:rsidRPr="00CB7EDE">
              <w:rPr>
                <w:rFonts w:asciiTheme="minorEastAsia" w:eastAsiaTheme="minorEastAsia" w:hAnsiTheme="minorEastAsia"/>
                <w:noProof/>
                <w:webHidden/>
              </w:rPr>
              <w:fldChar w:fldCharType="separate"/>
            </w:r>
            <w:r w:rsidR="00CA55DB" w:rsidRPr="00CB7EDE">
              <w:rPr>
                <w:rFonts w:asciiTheme="minorEastAsia" w:eastAsiaTheme="minorEastAsia" w:hAnsiTheme="minorEastAsia"/>
                <w:noProof/>
                <w:webHidden/>
              </w:rPr>
              <w:t>1</w:t>
            </w:r>
            <w:r w:rsidRPr="00CB7EDE">
              <w:rPr>
                <w:rFonts w:asciiTheme="minorEastAsia" w:eastAsiaTheme="minorEastAsia" w:hAnsiTheme="minorEastAsia"/>
                <w:noProof/>
                <w:webHidden/>
              </w:rPr>
              <w:fldChar w:fldCharType="end"/>
            </w:r>
          </w:hyperlink>
        </w:p>
        <w:p w:rsidR="00CA55DB" w:rsidRPr="00CB7EDE" w:rsidRDefault="00250A16" w:rsidP="00CB7EDE">
          <w:pPr>
            <w:pStyle w:val="30"/>
            <w:tabs>
              <w:tab w:val="right" w:leader="dot" w:pos="9060"/>
            </w:tabs>
            <w:spacing w:line="360" w:lineRule="auto"/>
            <w:ind w:leftChars="0" w:left="0" w:firstLineChars="100" w:firstLine="210"/>
            <w:rPr>
              <w:rFonts w:asciiTheme="minorEastAsia" w:eastAsiaTheme="minorEastAsia" w:hAnsiTheme="minorEastAsia" w:cstheme="minorBidi"/>
              <w:noProof/>
            </w:rPr>
          </w:pPr>
          <w:hyperlink w:anchor="_Toc462317676" w:history="1">
            <w:r w:rsidR="00CA55DB" w:rsidRPr="00CB7EDE">
              <w:rPr>
                <w:rStyle w:val="a3"/>
                <w:rFonts w:asciiTheme="minorEastAsia" w:eastAsiaTheme="minorEastAsia" w:hAnsiTheme="minorEastAsia"/>
                <w:noProof/>
                <w:kern w:val="0"/>
              </w:rPr>
              <w:t xml:space="preserve">1.1 </w:t>
            </w:r>
            <w:r w:rsidR="00CA55DB" w:rsidRPr="00CB7EDE">
              <w:rPr>
                <w:rStyle w:val="a3"/>
                <w:rFonts w:asciiTheme="minorEastAsia" w:eastAsiaTheme="minorEastAsia" w:hAnsiTheme="minorEastAsia" w:hint="eastAsia"/>
                <w:noProof/>
                <w:kern w:val="0"/>
              </w:rPr>
              <w:t>指标体系编制出台的背景</w:t>
            </w:r>
            <w:r w:rsidR="00CA55DB" w:rsidRPr="00CB7EDE">
              <w:rPr>
                <w:rFonts w:asciiTheme="minorEastAsia" w:eastAsiaTheme="minorEastAsia" w:hAnsiTheme="minorEastAsia"/>
                <w:noProof/>
                <w:webHidden/>
              </w:rPr>
              <w:tab/>
            </w:r>
            <w:r w:rsidR="00EF3207" w:rsidRPr="00CB7EDE">
              <w:rPr>
                <w:rFonts w:asciiTheme="minorEastAsia" w:eastAsiaTheme="minorEastAsia" w:hAnsiTheme="minorEastAsia"/>
                <w:noProof/>
                <w:webHidden/>
              </w:rPr>
              <w:fldChar w:fldCharType="begin"/>
            </w:r>
            <w:r w:rsidR="00CA55DB" w:rsidRPr="00CB7EDE">
              <w:rPr>
                <w:rFonts w:asciiTheme="minorEastAsia" w:eastAsiaTheme="minorEastAsia" w:hAnsiTheme="minorEastAsia"/>
                <w:noProof/>
                <w:webHidden/>
              </w:rPr>
              <w:instrText xml:space="preserve"> PAGEREF _Toc462317676 \h </w:instrText>
            </w:r>
            <w:r w:rsidR="00EF3207" w:rsidRPr="00CB7EDE">
              <w:rPr>
                <w:rFonts w:asciiTheme="minorEastAsia" w:eastAsiaTheme="minorEastAsia" w:hAnsiTheme="minorEastAsia"/>
                <w:noProof/>
                <w:webHidden/>
              </w:rPr>
            </w:r>
            <w:r w:rsidR="00EF3207" w:rsidRPr="00CB7EDE">
              <w:rPr>
                <w:rFonts w:asciiTheme="minorEastAsia" w:eastAsiaTheme="minorEastAsia" w:hAnsiTheme="minorEastAsia"/>
                <w:noProof/>
                <w:webHidden/>
              </w:rPr>
              <w:fldChar w:fldCharType="separate"/>
            </w:r>
            <w:r w:rsidR="00CA55DB" w:rsidRPr="00CB7EDE">
              <w:rPr>
                <w:rFonts w:asciiTheme="minorEastAsia" w:eastAsiaTheme="minorEastAsia" w:hAnsiTheme="minorEastAsia"/>
                <w:noProof/>
                <w:webHidden/>
              </w:rPr>
              <w:t>1</w:t>
            </w:r>
            <w:r w:rsidR="00EF3207" w:rsidRPr="00CB7EDE">
              <w:rPr>
                <w:rFonts w:asciiTheme="minorEastAsia" w:eastAsiaTheme="minorEastAsia" w:hAnsiTheme="minorEastAsia"/>
                <w:noProof/>
                <w:webHidden/>
              </w:rPr>
              <w:fldChar w:fldCharType="end"/>
            </w:r>
          </w:hyperlink>
        </w:p>
        <w:p w:rsidR="00CA55DB" w:rsidRPr="00CB7EDE" w:rsidRDefault="00250A16" w:rsidP="00CB7EDE">
          <w:pPr>
            <w:pStyle w:val="30"/>
            <w:tabs>
              <w:tab w:val="right" w:leader="dot" w:pos="9060"/>
            </w:tabs>
            <w:spacing w:line="360" w:lineRule="auto"/>
            <w:ind w:leftChars="0" w:left="0" w:firstLineChars="100" w:firstLine="210"/>
            <w:rPr>
              <w:rFonts w:asciiTheme="minorEastAsia" w:eastAsiaTheme="minorEastAsia" w:hAnsiTheme="minorEastAsia" w:cstheme="minorBidi"/>
              <w:noProof/>
            </w:rPr>
          </w:pPr>
          <w:hyperlink w:anchor="_Toc462317677" w:history="1">
            <w:r w:rsidR="00CA55DB" w:rsidRPr="00CB7EDE">
              <w:rPr>
                <w:rStyle w:val="a3"/>
                <w:rFonts w:asciiTheme="minorEastAsia" w:eastAsiaTheme="minorEastAsia" w:hAnsiTheme="minorEastAsia"/>
                <w:noProof/>
                <w:kern w:val="0"/>
              </w:rPr>
              <w:t xml:space="preserve">1.2 </w:t>
            </w:r>
            <w:r w:rsidR="00CA55DB" w:rsidRPr="00CB7EDE">
              <w:rPr>
                <w:rStyle w:val="a3"/>
                <w:rFonts w:asciiTheme="minorEastAsia" w:eastAsiaTheme="minorEastAsia" w:hAnsiTheme="minorEastAsia" w:hint="eastAsia"/>
                <w:noProof/>
                <w:kern w:val="0"/>
              </w:rPr>
              <w:t>指标体系编制的必要性与紧迫性</w:t>
            </w:r>
            <w:r w:rsidR="00CA55DB" w:rsidRPr="00CB7EDE">
              <w:rPr>
                <w:rFonts w:asciiTheme="minorEastAsia" w:eastAsiaTheme="minorEastAsia" w:hAnsiTheme="minorEastAsia"/>
                <w:noProof/>
                <w:webHidden/>
              </w:rPr>
              <w:tab/>
            </w:r>
            <w:r w:rsidR="00EF3207" w:rsidRPr="00CB7EDE">
              <w:rPr>
                <w:rFonts w:asciiTheme="minorEastAsia" w:eastAsiaTheme="minorEastAsia" w:hAnsiTheme="minorEastAsia"/>
                <w:noProof/>
                <w:webHidden/>
              </w:rPr>
              <w:fldChar w:fldCharType="begin"/>
            </w:r>
            <w:r w:rsidR="00CA55DB" w:rsidRPr="00CB7EDE">
              <w:rPr>
                <w:rFonts w:asciiTheme="minorEastAsia" w:eastAsiaTheme="minorEastAsia" w:hAnsiTheme="minorEastAsia"/>
                <w:noProof/>
                <w:webHidden/>
              </w:rPr>
              <w:instrText xml:space="preserve"> PAGEREF _Toc462317677 \h </w:instrText>
            </w:r>
            <w:r w:rsidR="00EF3207" w:rsidRPr="00CB7EDE">
              <w:rPr>
                <w:rFonts w:asciiTheme="minorEastAsia" w:eastAsiaTheme="minorEastAsia" w:hAnsiTheme="minorEastAsia"/>
                <w:noProof/>
                <w:webHidden/>
              </w:rPr>
            </w:r>
            <w:r w:rsidR="00EF3207" w:rsidRPr="00CB7EDE">
              <w:rPr>
                <w:rFonts w:asciiTheme="minorEastAsia" w:eastAsiaTheme="minorEastAsia" w:hAnsiTheme="minorEastAsia"/>
                <w:noProof/>
                <w:webHidden/>
              </w:rPr>
              <w:fldChar w:fldCharType="separate"/>
            </w:r>
            <w:r w:rsidR="00CA55DB" w:rsidRPr="00CB7EDE">
              <w:rPr>
                <w:rFonts w:asciiTheme="minorEastAsia" w:eastAsiaTheme="minorEastAsia" w:hAnsiTheme="minorEastAsia"/>
                <w:noProof/>
                <w:webHidden/>
              </w:rPr>
              <w:t>2</w:t>
            </w:r>
            <w:r w:rsidR="00EF3207" w:rsidRPr="00CB7EDE">
              <w:rPr>
                <w:rFonts w:asciiTheme="minorEastAsia" w:eastAsiaTheme="minorEastAsia" w:hAnsiTheme="minorEastAsia"/>
                <w:noProof/>
                <w:webHidden/>
              </w:rPr>
              <w:fldChar w:fldCharType="end"/>
            </w:r>
          </w:hyperlink>
        </w:p>
        <w:p w:rsidR="00CA55DB" w:rsidRPr="00CB7EDE" w:rsidRDefault="00250A16" w:rsidP="00CB7EDE">
          <w:pPr>
            <w:pStyle w:val="10"/>
            <w:tabs>
              <w:tab w:val="right" w:leader="dot" w:pos="9060"/>
            </w:tabs>
            <w:spacing w:line="360" w:lineRule="auto"/>
            <w:rPr>
              <w:rFonts w:asciiTheme="minorEastAsia" w:eastAsiaTheme="minorEastAsia" w:hAnsiTheme="minorEastAsia" w:cstheme="minorBidi"/>
              <w:noProof/>
            </w:rPr>
          </w:pPr>
          <w:hyperlink w:anchor="_Toc462317678" w:history="1">
            <w:r w:rsidR="00CA55DB" w:rsidRPr="00CB7EDE">
              <w:rPr>
                <w:rStyle w:val="a3"/>
                <w:rFonts w:asciiTheme="minorEastAsia" w:eastAsiaTheme="minorEastAsia" w:hAnsiTheme="minorEastAsia"/>
                <w:noProof/>
                <w:kern w:val="0"/>
              </w:rPr>
              <w:t xml:space="preserve">2 </w:t>
            </w:r>
            <w:r w:rsidR="00CA55DB" w:rsidRPr="00CB7EDE">
              <w:rPr>
                <w:rStyle w:val="a3"/>
                <w:rFonts w:asciiTheme="minorEastAsia" w:eastAsiaTheme="minorEastAsia" w:hAnsiTheme="minorEastAsia" w:hint="eastAsia"/>
                <w:noProof/>
                <w:kern w:val="0"/>
              </w:rPr>
              <w:t>编制过程</w:t>
            </w:r>
            <w:r w:rsidR="00CA55DB" w:rsidRPr="00CB7EDE">
              <w:rPr>
                <w:rFonts w:asciiTheme="minorEastAsia" w:eastAsiaTheme="minorEastAsia" w:hAnsiTheme="minorEastAsia"/>
                <w:noProof/>
                <w:webHidden/>
              </w:rPr>
              <w:tab/>
            </w:r>
            <w:r w:rsidR="00EF3207" w:rsidRPr="00CB7EDE">
              <w:rPr>
                <w:rFonts w:asciiTheme="minorEastAsia" w:eastAsiaTheme="minorEastAsia" w:hAnsiTheme="minorEastAsia"/>
                <w:noProof/>
                <w:webHidden/>
              </w:rPr>
              <w:fldChar w:fldCharType="begin"/>
            </w:r>
            <w:r w:rsidR="00CA55DB" w:rsidRPr="00CB7EDE">
              <w:rPr>
                <w:rFonts w:asciiTheme="minorEastAsia" w:eastAsiaTheme="minorEastAsia" w:hAnsiTheme="minorEastAsia"/>
                <w:noProof/>
                <w:webHidden/>
              </w:rPr>
              <w:instrText xml:space="preserve"> PAGEREF _Toc462317678 \h </w:instrText>
            </w:r>
            <w:r w:rsidR="00EF3207" w:rsidRPr="00CB7EDE">
              <w:rPr>
                <w:rFonts w:asciiTheme="minorEastAsia" w:eastAsiaTheme="minorEastAsia" w:hAnsiTheme="minorEastAsia"/>
                <w:noProof/>
                <w:webHidden/>
              </w:rPr>
            </w:r>
            <w:r w:rsidR="00EF3207" w:rsidRPr="00CB7EDE">
              <w:rPr>
                <w:rFonts w:asciiTheme="minorEastAsia" w:eastAsiaTheme="minorEastAsia" w:hAnsiTheme="minorEastAsia"/>
                <w:noProof/>
                <w:webHidden/>
              </w:rPr>
              <w:fldChar w:fldCharType="separate"/>
            </w:r>
            <w:r w:rsidR="00CA55DB" w:rsidRPr="00CB7EDE">
              <w:rPr>
                <w:rFonts w:asciiTheme="minorEastAsia" w:eastAsiaTheme="minorEastAsia" w:hAnsiTheme="minorEastAsia"/>
                <w:noProof/>
                <w:webHidden/>
              </w:rPr>
              <w:t>3</w:t>
            </w:r>
            <w:r w:rsidR="00EF3207" w:rsidRPr="00CB7EDE">
              <w:rPr>
                <w:rFonts w:asciiTheme="minorEastAsia" w:eastAsiaTheme="minorEastAsia" w:hAnsiTheme="minorEastAsia"/>
                <w:noProof/>
                <w:webHidden/>
              </w:rPr>
              <w:fldChar w:fldCharType="end"/>
            </w:r>
          </w:hyperlink>
        </w:p>
        <w:p w:rsidR="00CA55DB" w:rsidRPr="00CB7EDE" w:rsidRDefault="00250A16" w:rsidP="00CB7EDE">
          <w:pPr>
            <w:pStyle w:val="30"/>
            <w:tabs>
              <w:tab w:val="right" w:leader="dot" w:pos="9060"/>
            </w:tabs>
            <w:spacing w:line="360" w:lineRule="auto"/>
            <w:ind w:leftChars="0" w:left="0" w:firstLineChars="100" w:firstLine="210"/>
            <w:rPr>
              <w:rFonts w:asciiTheme="minorEastAsia" w:eastAsiaTheme="minorEastAsia" w:hAnsiTheme="minorEastAsia" w:cstheme="minorBidi"/>
              <w:noProof/>
            </w:rPr>
          </w:pPr>
          <w:hyperlink w:anchor="_Toc462317679" w:history="1">
            <w:r w:rsidR="00CA55DB" w:rsidRPr="00CB7EDE">
              <w:rPr>
                <w:rStyle w:val="a3"/>
                <w:rFonts w:asciiTheme="minorEastAsia" w:eastAsiaTheme="minorEastAsia" w:hAnsiTheme="minorEastAsia"/>
                <w:noProof/>
                <w:kern w:val="0"/>
              </w:rPr>
              <w:t xml:space="preserve">2.1 </w:t>
            </w:r>
            <w:r w:rsidR="00CA55DB" w:rsidRPr="00CB7EDE">
              <w:rPr>
                <w:rStyle w:val="a3"/>
                <w:rFonts w:asciiTheme="minorEastAsia" w:eastAsiaTheme="minorEastAsia" w:hAnsiTheme="minorEastAsia" w:hint="eastAsia"/>
                <w:noProof/>
                <w:kern w:val="0"/>
              </w:rPr>
              <w:t>编制思路</w:t>
            </w:r>
            <w:r w:rsidR="00CA55DB" w:rsidRPr="00CB7EDE">
              <w:rPr>
                <w:rFonts w:asciiTheme="minorEastAsia" w:eastAsiaTheme="minorEastAsia" w:hAnsiTheme="minorEastAsia"/>
                <w:noProof/>
                <w:webHidden/>
              </w:rPr>
              <w:tab/>
            </w:r>
            <w:r w:rsidR="00EF3207" w:rsidRPr="00CB7EDE">
              <w:rPr>
                <w:rFonts w:asciiTheme="minorEastAsia" w:eastAsiaTheme="minorEastAsia" w:hAnsiTheme="minorEastAsia"/>
                <w:noProof/>
                <w:webHidden/>
              </w:rPr>
              <w:fldChar w:fldCharType="begin"/>
            </w:r>
            <w:r w:rsidR="00CA55DB" w:rsidRPr="00CB7EDE">
              <w:rPr>
                <w:rFonts w:asciiTheme="minorEastAsia" w:eastAsiaTheme="minorEastAsia" w:hAnsiTheme="minorEastAsia"/>
                <w:noProof/>
                <w:webHidden/>
              </w:rPr>
              <w:instrText xml:space="preserve"> PAGEREF _Toc462317679 \h </w:instrText>
            </w:r>
            <w:r w:rsidR="00EF3207" w:rsidRPr="00CB7EDE">
              <w:rPr>
                <w:rFonts w:asciiTheme="minorEastAsia" w:eastAsiaTheme="minorEastAsia" w:hAnsiTheme="minorEastAsia"/>
                <w:noProof/>
                <w:webHidden/>
              </w:rPr>
            </w:r>
            <w:r w:rsidR="00EF3207" w:rsidRPr="00CB7EDE">
              <w:rPr>
                <w:rFonts w:asciiTheme="minorEastAsia" w:eastAsiaTheme="minorEastAsia" w:hAnsiTheme="minorEastAsia"/>
                <w:noProof/>
                <w:webHidden/>
              </w:rPr>
              <w:fldChar w:fldCharType="separate"/>
            </w:r>
            <w:r w:rsidR="00CA55DB" w:rsidRPr="00CB7EDE">
              <w:rPr>
                <w:rFonts w:asciiTheme="minorEastAsia" w:eastAsiaTheme="minorEastAsia" w:hAnsiTheme="minorEastAsia"/>
                <w:noProof/>
                <w:webHidden/>
              </w:rPr>
              <w:t>3</w:t>
            </w:r>
            <w:r w:rsidR="00EF3207" w:rsidRPr="00CB7EDE">
              <w:rPr>
                <w:rFonts w:asciiTheme="minorEastAsia" w:eastAsiaTheme="minorEastAsia" w:hAnsiTheme="minorEastAsia"/>
                <w:noProof/>
                <w:webHidden/>
              </w:rPr>
              <w:fldChar w:fldCharType="end"/>
            </w:r>
          </w:hyperlink>
        </w:p>
        <w:p w:rsidR="00CA55DB" w:rsidRPr="00CB7EDE" w:rsidRDefault="00250A16" w:rsidP="00CB7EDE">
          <w:pPr>
            <w:pStyle w:val="30"/>
            <w:tabs>
              <w:tab w:val="right" w:leader="dot" w:pos="9060"/>
            </w:tabs>
            <w:spacing w:line="360" w:lineRule="auto"/>
            <w:ind w:leftChars="0" w:left="0" w:firstLineChars="100" w:firstLine="210"/>
            <w:rPr>
              <w:rFonts w:asciiTheme="minorEastAsia" w:eastAsiaTheme="minorEastAsia" w:hAnsiTheme="minorEastAsia" w:cstheme="minorBidi"/>
              <w:noProof/>
            </w:rPr>
          </w:pPr>
          <w:hyperlink w:anchor="_Toc462317680" w:history="1">
            <w:r w:rsidR="00CA55DB" w:rsidRPr="00CB7EDE">
              <w:rPr>
                <w:rStyle w:val="a3"/>
                <w:rFonts w:asciiTheme="minorEastAsia" w:eastAsiaTheme="minorEastAsia" w:hAnsiTheme="minorEastAsia"/>
                <w:noProof/>
                <w:kern w:val="0"/>
              </w:rPr>
              <w:t xml:space="preserve">2.2 </w:t>
            </w:r>
            <w:r w:rsidR="00CA55DB" w:rsidRPr="00CB7EDE">
              <w:rPr>
                <w:rStyle w:val="a3"/>
                <w:rFonts w:asciiTheme="minorEastAsia" w:eastAsiaTheme="minorEastAsia" w:hAnsiTheme="minorEastAsia" w:hint="eastAsia"/>
                <w:noProof/>
                <w:kern w:val="0"/>
              </w:rPr>
              <w:t>编制过程</w:t>
            </w:r>
            <w:r w:rsidR="00CA55DB" w:rsidRPr="00CB7EDE">
              <w:rPr>
                <w:rFonts w:asciiTheme="minorEastAsia" w:eastAsiaTheme="minorEastAsia" w:hAnsiTheme="minorEastAsia"/>
                <w:noProof/>
                <w:webHidden/>
              </w:rPr>
              <w:tab/>
            </w:r>
            <w:r w:rsidR="00EF3207" w:rsidRPr="00CB7EDE">
              <w:rPr>
                <w:rFonts w:asciiTheme="minorEastAsia" w:eastAsiaTheme="minorEastAsia" w:hAnsiTheme="minorEastAsia"/>
                <w:noProof/>
                <w:webHidden/>
              </w:rPr>
              <w:fldChar w:fldCharType="begin"/>
            </w:r>
            <w:r w:rsidR="00CA55DB" w:rsidRPr="00CB7EDE">
              <w:rPr>
                <w:rFonts w:asciiTheme="minorEastAsia" w:eastAsiaTheme="minorEastAsia" w:hAnsiTheme="minorEastAsia"/>
                <w:noProof/>
                <w:webHidden/>
              </w:rPr>
              <w:instrText xml:space="preserve"> PAGEREF _Toc462317680 \h </w:instrText>
            </w:r>
            <w:r w:rsidR="00EF3207" w:rsidRPr="00CB7EDE">
              <w:rPr>
                <w:rFonts w:asciiTheme="minorEastAsia" w:eastAsiaTheme="minorEastAsia" w:hAnsiTheme="minorEastAsia"/>
                <w:noProof/>
                <w:webHidden/>
              </w:rPr>
            </w:r>
            <w:r w:rsidR="00EF3207" w:rsidRPr="00CB7EDE">
              <w:rPr>
                <w:rFonts w:asciiTheme="minorEastAsia" w:eastAsiaTheme="minorEastAsia" w:hAnsiTheme="minorEastAsia"/>
                <w:noProof/>
                <w:webHidden/>
              </w:rPr>
              <w:fldChar w:fldCharType="separate"/>
            </w:r>
            <w:r w:rsidR="00CA55DB" w:rsidRPr="00CB7EDE">
              <w:rPr>
                <w:rFonts w:asciiTheme="minorEastAsia" w:eastAsiaTheme="minorEastAsia" w:hAnsiTheme="minorEastAsia"/>
                <w:noProof/>
                <w:webHidden/>
              </w:rPr>
              <w:t>3</w:t>
            </w:r>
            <w:r w:rsidR="00EF3207" w:rsidRPr="00CB7EDE">
              <w:rPr>
                <w:rFonts w:asciiTheme="minorEastAsia" w:eastAsiaTheme="minorEastAsia" w:hAnsiTheme="minorEastAsia"/>
                <w:noProof/>
                <w:webHidden/>
              </w:rPr>
              <w:fldChar w:fldCharType="end"/>
            </w:r>
          </w:hyperlink>
        </w:p>
        <w:p w:rsidR="00CA55DB" w:rsidRPr="00CB7EDE" w:rsidRDefault="00250A16" w:rsidP="00CB7EDE">
          <w:pPr>
            <w:pStyle w:val="10"/>
            <w:tabs>
              <w:tab w:val="right" w:leader="dot" w:pos="9060"/>
            </w:tabs>
            <w:spacing w:line="360" w:lineRule="auto"/>
            <w:rPr>
              <w:rFonts w:asciiTheme="minorEastAsia" w:eastAsiaTheme="minorEastAsia" w:hAnsiTheme="minorEastAsia" w:cstheme="minorBidi"/>
              <w:noProof/>
            </w:rPr>
          </w:pPr>
          <w:hyperlink w:anchor="_Toc462317681" w:history="1">
            <w:r w:rsidR="00CA55DB" w:rsidRPr="00CB7EDE">
              <w:rPr>
                <w:rStyle w:val="a3"/>
                <w:rFonts w:asciiTheme="minorEastAsia" w:eastAsiaTheme="minorEastAsia" w:hAnsiTheme="minorEastAsia"/>
                <w:noProof/>
                <w:kern w:val="0"/>
              </w:rPr>
              <w:t xml:space="preserve">3 </w:t>
            </w:r>
            <w:r w:rsidR="00CA55DB" w:rsidRPr="00CB7EDE">
              <w:rPr>
                <w:rStyle w:val="a3"/>
                <w:rFonts w:asciiTheme="minorEastAsia" w:eastAsiaTheme="minorEastAsia" w:hAnsiTheme="minorEastAsia" w:hint="eastAsia"/>
                <w:noProof/>
                <w:kern w:val="0"/>
              </w:rPr>
              <w:t>适用范围</w:t>
            </w:r>
            <w:r w:rsidR="00CA55DB" w:rsidRPr="00CB7EDE">
              <w:rPr>
                <w:rFonts w:asciiTheme="minorEastAsia" w:eastAsiaTheme="minorEastAsia" w:hAnsiTheme="minorEastAsia"/>
                <w:noProof/>
                <w:webHidden/>
              </w:rPr>
              <w:tab/>
            </w:r>
            <w:r w:rsidR="00EF3207" w:rsidRPr="00CB7EDE">
              <w:rPr>
                <w:rFonts w:asciiTheme="minorEastAsia" w:eastAsiaTheme="minorEastAsia" w:hAnsiTheme="minorEastAsia"/>
                <w:noProof/>
                <w:webHidden/>
              </w:rPr>
              <w:fldChar w:fldCharType="begin"/>
            </w:r>
            <w:r w:rsidR="00CA55DB" w:rsidRPr="00CB7EDE">
              <w:rPr>
                <w:rFonts w:asciiTheme="minorEastAsia" w:eastAsiaTheme="minorEastAsia" w:hAnsiTheme="minorEastAsia"/>
                <w:noProof/>
                <w:webHidden/>
              </w:rPr>
              <w:instrText xml:space="preserve"> PAGEREF _Toc462317681 \h </w:instrText>
            </w:r>
            <w:r w:rsidR="00EF3207" w:rsidRPr="00CB7EDE">
              <w:rPr>
                <w:rFonts w:asciiTheme="minorEastAsia" w:eastAsiaTheme="minorEastAsia" w:hAnsiTheme="minorEastAsia"/>
                <w:noProof/>
                <w:webHidden/>
              </w:rPr>
            </w:r>
            <w:r w:rsidR="00EF3207" w:rsidRPr="00CB7EDE">
              <w:rPr>
                <w:rFonts w:asciiTheme="minorEastAsia" w:eastAsiaTheme="minorEastAsia" w:hAnsiTheme="minorEastAsia"/>
                <w:noProof/>
                <w:webHidden/>
              </w:rPr>
              <w:fldChar w:fldCharType="separate"/>
            </w:r>
            <w:r w:rsidR="00CA55DB" w:rsidRPr="00CB7EDE">
              <w:rPr>
                <w:rFonts w:asciiTheme="minorEastAsia" w:eastAsiaTheme="minorEastAsia" w:hAnsiTheme="minorEastAsia"/>
                <w:noProof/>
                <w:webHidden/>
              </w:rPr>
              <w:t>4</w:t>
            </w:r>
            <w:r w:rsidR="00EF3207" w:rsidRPr="00CB7EDE">
              <w:rPr>
                <w:rFonts w:asciiTheme="minorEastAsia" w:eastAsiaTheme="minorEastAsia" w:hAnsiTheme="minorEastAsia"/>
                <w:noProof/>
                <w:webHidden/>
              </w:rPr>
              <w:fldChar w:fldCharType="end"/>
            </w:r>
          </w:hyperlink>
        </w:p>
        <w:p w:rsidR="00CA55DB" w:rsidRPr="00CB7EDE" w:rsidRDefault="00250A16" w:rsidP="00CB7EDE">
          <w:pPr>
            <w:pStyle w:val="10"/>
            <w:tabs>
              <w:tab w:val="right" w:leader="dot" w:pos="9060"/>
            </w:tabs>
            <w:spacing w:line="360" w:lineRule="auto"/>
            <w:rPr>
              <w:rFonts w:asciiTheme="minorEastAsia" w:eastAsiaTheme="minorEastAsia" w:hAnsiTheme="minorEastAsia" w:cstheme="minorBidi"/>
              <w:noProof/>
            </w:rPr>
          </w:pPr>
          <w:hyperlink w:anchor="_Toc462317682" w:history="1">
            <w:r w:rsidR="00CA55DB" w:rsidRPr="00CB7EDE">
              <w:rPr>
                <w:rStyle w:val="a3"/>
                <w:rFonts w:asciiTheme="minorEastAsia" w:eastAsiaTheme="minorEastAsia" w:hAnsiTheme="minorEastAsia"/>
                <w:noProof/>
                <w:kern w:val="0"/>
              </w:rPr>
              <w:t xml:space="preserve">4 </w:t>
            </w:r>
            <w:r w:rsidR="00CA55DB" w:rsidRPr="00CB7EDE">
              <w:rPr>
                <w:rStyle w:val="a3"/>
                <w:rFonts w:asciiTheme="minorEastAsia" w:eastAsiaTheme="minorEastAsia" w:hAnsiTheme="minorEastAsia" w:hint="eastAsia"/>
                <w:noProof/>
                <w:kern w:val="0"/>
              </w:rPr>
              <w:t>指标体系编制指导思想</w:t>
            </w:r>
            <w:r w:rsidR="00CA55DB" w:rsidRPr="00CB7EDE">
              <w:rPr>
                <w:rFonts w:asciiTheme="minorEastAsia" w:eastAsiaTheme="minorEastAsia" w:hAnsiTheme="minorEastAsia"/>
                <w:noProof/>
                <w:webHidden/>
              </w:rPr>
              <w:tab/>
            </w:r>
            <w:r w:rsidR="00EF3207" w:rsidRPr="00CB7EDE">
              <w:rPr>
                <w:rFonts w:asciiTheme="minorEastAsia" w:eastAsiaTheme="minorEastAsia" w:hAnsiTheme="minorEastAsia"/>
                <w:noProof/>
                <w:webHidden/>
              </w:rPr>
              <w:fldChar w:fldCharType="begin"/>
            </w:r>
            <w:r w:rsidR="00CA55DB" w:rsidRPr="00CB7EDE">
              <w:rPr>
                <w:rFonts w:asciiTheme="minorEastAsia" w:eastAsiaTheme="minorEastAsia" w:hAnsiTheme="minorEastAsia"/>
                <w:noProof/>
                <w:webHidden/>
              </w:rPr>
              <w:instrText xml:space="preserve"> PAGEREF _Toc462317682 \h </w:instrText>
            </w:r>
            <w:r w:rsidR="00EF3207" w:rsidRPr="00CB7EDE">
              <w:rPr>
                <w:rFonts w:asciiTheme="minorEastAsia" w:eastAsiaTheme="minorEastAsia" w:hAnsiTheme="minorEastAsia"/>
                <w:noProof/>
                <w:webHidden/>
              </w:rPr>
            </w:r>
            <w:r w:rsidR="00EF3207" w:rsidRPr="00CB7EDE">
              <w:rPr>
                <w:rFonts w:asciiTheme="minorEastAsia" w:eastAsiaTheme="minorEastAsia" w:hAnsiTheme="minorEastAsia"/>
                <w:noProof/>
                <w:webHidden/>
              </w:rPr>
              <w:fldChar w:fldCharType="separate"/>
            </w:r>
            <w:r w:rsidR="00CA55DB" w:rsidRPr="00CB7EDE">
              <w:rPr>
                <w:rFonts w:asciiTheme="minorEastAsia" w:eastAsiaTheme="minorEastAsia" w:hAnsiTheme="minorEastAsia"/>
                <w:noProof/>
                <w:webHidden/>
              </w:rPr>
              <w:t>4</w:t>
            </w:r>
            <w:r w:rsidR="00EF3207" w:rsidRPr="00CB7EDE">
              <w:rPr>
                <w:rFonts w:asciiTheme="minorEastAsia" w:eastAsiaTheme="minorEastAsia" w:hAnsiTheme="minorEastAsia"/>
                <w:noProof/>
                <w:webHidden/>
              </w:rPr>
              <w:fldChar w:fldCharType="end"/>
            </w:r>
          </w:hyperlink>
        </w:p>
        <w:p w:rsidR="00CA55DB" w:rsidRPr="00CB7EDE" w:rsidRDefault="00250A16" w:rsidP="00CB7EDE">
          <w:pPr>
            <w:pStyle w:val="10"/>
            <w:tabs>
              <w:tab w:val="right" w:leader="dot" w:pos="9060"/>
            </w:tabs>
            <w:spacing w:line="360" w:lineRule="auto"/>
            <w:rPr>
              <w:rFonts w:asciiTheme="minorEastAsia" w:eastAsiaTheme="minorEastAsia" w:hAnsiTheme="minorEastAsia" w:cstheme="minorBidi"/>
              <w:noProof/>
            </w:rPr>
          </w:pPr>
          <w:hyperlink w:anchor="_Toc462317683" w:history="1">
            <w:r w:rsidR="00CA55DB" w:rsidRPr="00CB7EDE">
              <w:rPr>
                <w:rStyle w:val="a3"/>
                <w:rFonts w:asciiTheme="minorEastAsia" w:eastAsiaTheme="minorEastAsia" w:hAnsiTheme="minorEastAsia"/>
                <w:noProof/>
                <w:kern w:val="0"/>
              </w:rPr>
              <w:t xml:space="preserve">5 </w:t>
            </w:r>
            <w:r w:rsidR="00CA55DB" w:rsidRPr="00CB7EDE">
              <w:rPr>
                <w:rStyle w:val="a3"/>
                <w:rFonts w:asciiTheme="minorEastAsia" w:eastAsiaTheme="minorEastAsia" w:hAnsiTheme="minorEastAsia" w:hint="eastAsia"/>
                <w:noProof/>
                <w:kern w:val="0"/>
              </w:rPr>
              <w:t>指标体系编制原则、依据和参考资料</w:t>
            </w:r>
            <w:r w:rsidR="00CA55DB" w:rsidRPr="00CB7EDE">
              <w:rPr>
                <w:rFonts w:asciiTheme="minorEastAsia" w:eastAsiaTheme="minorEastAsia" w:hAnsiTheme="minorEastAsia"/>
                <w:noProof/>
                <w:webHidden/>
              </w:rPr>
              <w:tab/>
            </w:r>
            <w:r w:rsidR="00EF3207" w:rsidRPr="00CB7EDE">
              <w:rPr>
                <w:rFonts w:asciiTheme="minorEastAsia" w:eastAsiaTheme="minorEastAsia" w:hAnsiTheme="minorEastAsia"/>
                <w:noProof/>
                <w:webHidden/>
              </w:rPr>
              <w:fldChar w:fldCharType="begin"/>
            </w:r>
            <w:r w:rsidR="00CA55DB" w:rsidRPr="00CB7EDE">
              <w:rPr>
                <w:rFonts w:asciiTheme="minorEastAsia" w:eastAsiaTheme="minorEastAsia" w:hAnsiTheme="minorEastAsia"/>
                <w:noProof/>
                <w:webHidden/>
              </w:rPr>
              <w:instrText xml:space="preserve"> PAGEREF _Toc462317683 \h </w:instrText>
            </w:r>
            <w:r w:rsidR="00EF3207" w:rsidRPr="00CB7EDE">
              <w:rPr>
                <w:rFonts w:asciiTheme="minorEastAsia" w:eastAsiaTheme="minorEastAsia" w:hAnsiTheme="minorEastAsia"/>
                <w:noProof/>
                <w:webHidden/>
              </w:rPr>
            </w:r>
            <w:r w:rsidR="00EF3207" w:rsidRPr="00CB7EDE">
              <w:rPr>
                <w:rFonts w:asciiTheme="minorEastAsia" w:eastAsiaTheme="minorEastAsia" w:hAnsiTheme="minorEastAsia"/>
                <w:noProof/>
                <w:webHidden/>
              </w:rPr>
              <w:fldChar w:fldCharType="separate"/>
            </w:r>
            <w:r w:rsidR="00CA55DB" w:rsidRPr="00CB7EDE">
              <w:rPr>
                <w:rFonts w:asciiTheme="minorEastAsia" w:eastAsiaTheme="minorEastAsia" w:hAnsiTheme="minorEastAsia"/>
                <w:noProof/>
                <w:webHidden/>
              </w:rPr>
              <w:t>4</w:t>
            </w:r>
            <w:r w:rsidR="00EF3207" w:rsidRPr="00CB7EDE">
              <w:rPr>
                <w:rFonts w:asciiTheme="minorEastAsia" w:eastAsiaTheme="minorEastAsia" w:hAnsiTheme="minorEastAsia"/>
                <w:noProof/>
                <w:webHidden/>
              </w:rPr>
              <w:fldChar w:fldCharType="end"/>
            </w:r>
          </w:hyperlink>
        </w:p>
        <w:p w:rsidR="00CA55DB" w:rsidRPr="00CB7EDE" w:rsidRDefault="00250A16" w:rsidP="00CB7EDE">
          <w:pPr>
            <w:pStyle w:val="30"/>
            <w:tabs>
              <w:tab w:val="right" w:leader="dot" w:pos="9060"/>
            </w:tabs>
            <w:spacing w:line="360" w:lineRule="auto"/>
            <w:ind w:leftChars="0" w:left="0" w:firstLineChars="100" w:firstLine="210"/>
            <w:rPr>
              <w:rFonts w:asciiTheme="minorEastAsia" w:eastAsiaTheme="minorEastAsia" w:hAnsiTheme="minorEastAsia" w:cstheme="minorBidi"/>
              <w:noProof/>
            </w:rPr>
          </w:pPr>
          <w:hyperlink w:anchor="_Toc462317684" w:history="1">
            <w:r w:rsidR="00CA55DB" w:rsidRPr="00CB7EDE">
              <w:rPr>
                <w:rStyle w:val="a3"/>
                <w:rFonts w:asciiTheme="minorEastAsia" w:eastAsiaTheme="minorEastAsia" w:hAnsiTheme="minorEastAsia"/>
                <w:noProof/>
                <w:kern w:val="0"/>
              </w:rPr>
              <w:t xml:space="preserve">5.1 </w:t>
            </w:r>
            <w:r w:rsidR="00CA55DB" w:rsidRPr="00CB7EDE">
              <w:rPr>
                <w:rStyle w:val="a3"/>
                <w:rFonts w:asciiTheme="minorEastAsia" w:eastAsiaTheme="minorEastAsia" w:hAnsiTheme="minorEastAsia" w:hint="eastAsia"/>
                <w:noProof/>
                <w:kern w:val="0"/>
              </w:rPr>
              <w:t>编制原则</w:t>
            </w:r>
            <w:r w:rsidR="00CA55DB" w:rsidRPr="00CB7EDE">
              <w:rPr>
                <w:rFonts w:asciiTheme="minorEastAsia" w:eastAsiaTheme="minorEastAsia" w:hAnsiTheme="minorEastAsia"/>
                <w:noProof/>
                <w:webHidden/>
              </w:rPr>
              <w:tab/>
            </w:r>
            <w:r w:rsidR="00EF3207" w:rsidRPr="00CB7EDE">
              <w:rPr>
                <w:rFonts w:asciiTheme="minorEastAsia" w:eastAsiaTheme="minorEastAsia" w:hAnsiTheme="minorEastAsia"/>
                <w:noProof/>
                <w:webHidden/>
              </w:rPr>
              <w:fldChar w:fldCharType="begin"/>
            </w:r>
            <w:r w:rsidR="00CA55DB" w:rsidRPr="00CB7EDE">
              <w:rPr>
                <w:rFonts w:asciiTheme="minorEastAsia" w:eastAsiaTheme="minorEastAsia" w:hAnsiTheme="minorEastAsia"/>
                <w:noProof/>
                <w:webHidden/>
              </w:rPr>
              <w:instrText xml:space="preserve"> PAGEREF _Toc462317684 \h </w:instrText>
            </w:r>
            <w:r w:rsidR="00EF3207" w:rsidRPr="00CB7EDE">
              <w:rPr>
                <w:rFonts w:asciiTheme="minorEastAsia" w:eastAsiaTheme="minorEastAsia" w:hAnsiTheme="minorEastAsia"/>
                <w:noProof/>
                <w:webHidden/>
              </w:rPr>
            </w:r>
            <w:r w:rsidR="00EF3207" w:rsidRPr="00CB7EDE">
              <w:rPr>
                <w:rFonts w:asciiTheme="minorEastAsia" w:eastAsiaTheme="minorEastAsia" w:hAnsiTheme="minorEastAsia"/>
                <w:noProof/>
                <w:webHidden/>
              </w:rPr>
              <w:fldChar w:fldCharType="separate"/>
            </w:r>
            <w:r w:rsidR="00CA55DB" w:rsidRPr="00CB7EDE">
              <w:rPr>
                <w:rFonts w:asciiTheme="minorEastAsia" w:eastAsiaTheme="minorEastAsia" w:hAnsiTheme="minorEastAsia"/>
                <w:noProof/>
                <w:webHidden/>
              </w:rPr>
              <w:t>4</w:t>
            </w:r>
            <w:r w:rsidR="00EF3207" w:rsidRPr="00CB7EDE">
              <w:rPr>
                <w:rFonts w:asciiTheme="minorEastAsia" w:eastAsiaTheme="minorEastAsia" w:hAnsiTheme="minorEastAsia"/>
                <w:noProof/>
                <w:webHidden/>
              </w:rPr>
              <w:fldChar w:fldCharType="end"/>
            </w:r>
          </w:hyperlink>
        </w:p>
        <w:p w:rsidR="00CA55DB" w:rsidRPr="00CB7EDE" w:rsidRDefault="00250A16" w:rsidP="00CB7EDE">
          <w:pPr>
            <w:pStyle w:val="30"/>
            <w:tabs>
              <w:tab w:val="right" w:leader="dot" w:pos="9060"/>
            </w:tabs>
            <w:spacing w:line="360" w:lineRule="auto"/>
            <w:ind w:leftChars="0" w:left="0" w:firstLineChars="100" w:firstLine="210"/>
            <w:rPr>
              <w:rFonts w:asciiTheme="minorEastAsia" w:eastAsiaTheme="minorEastAsia" w:hAnsiTheme="minorEastAsia" w:cstheme="minorBidi"/>
              <w:noProof/>
            </w:rPr>
          </w:pPr>
          <w:hyperlink w:anchor="_Toc462317685" w:history="1">
            <w:r w:rsidR="00CA55DB" w:rsidRPr="00CB7EDE">
              <w:rPr>
                <w:rStyle w:val="a3"/>
                <w:rFonts w:asciiTheme="minorEastAsia" w:eastAsiaTheme="minorEastAsia" w:hAnsiTheme="minorEastAsia"/>
                <w:noProof/>
                <w:kern w:val="0"/>
              </w:rPr>
              <w:t xml:space="preserve">5.2 </w:t>
            </w:r>
            <w:r w:rsidR="00CA55DB" w:rsidRPr="00CB7EDE">
              <w:rPr>
                <w:rStyle w:val="a3"/>
                <w:rFonts w:asciiTheme="minorEastAsia" w:eastAsiaTheme="minorEastAsia" w:hAnsiTheme="minorEastAsia" w:hint="eastAsia"/>
                <w:noProof/>
                <w:kern w:val="0"/>
              </w:rPr>
              <w:t>编制依据</w:t>
            </w:r>
            <w:r w:rsidR="00CA55DB" w:rsidRPr="00CB7EDE">
              <w:rPr>
                <w:rFonts w:asciiTheme="minorEastAsia" w:eastAsiaTheme="minorEastAsia" w:hAnsiTheme="minorEastAsia"/>
                <w:noProof/>
                <w:webHidden/>
              </w:rPr>
              <w:tab/>
            </w:r>
            <w:r w:rsidR="00EF3207" w:rsidRPr="00CB7EDE">
              <w:rPr>
                <w:rFonts w:asciiTheme="minorEastAsia" w:eastAsiaTheme="minorEastAsia" w:hAnsiTheme="minorEastAsia"/>
                <w:noProof/>
                <w:webHidden/>
              </w:rPr>
              <w:fldChar w:fldCharType="begin"/>
            </w:r>
            <w:r w:rsidR="00CA55DB" w:rsidRPr="00CB7EDE">
              <w:rPr>
                <w:rFonts w:asciiTheme="minorEastAsia" w:eastAsiaTheme="minorEastAsia" w:hAnsiTheme="minorEastAsia"/>
                <w:noProof/>
                <w:webHidden/>
              </w:rPr>
              <w:instrText xml:space="preserve"> PAGEREF _Toc462317685 \h </w:instrText>
            </w:r>
            <w:r w:rsidR="00EF3207" w:rsidRPr="00CB7EDE">
              <w:rPr>
                <w:rFonts w:asciiTheme="minorEastAsia" w:eastAsiaTheme="minorEastAsia" w:hAnsiTheme="minorEastAsia"/>
                <w:noProof/>
                <w:webHidden/>
              </w:rPr>
            </w:r>
            <w:r w:rsidR="00EF3207" w:rsidRPr="00CB7EDE">
              <w:rPr>
                <w:rFonts w:asciiTheme="minorEastAsia" w:eastAsiaTheme="minorEastAsia" w:hAnsiTheme="minorEastAsia"/>
                <w:noProof/>
                <w:webHidden/>
              </w:rPr>
              <w:fldChar w:fldCharType="separate"/>
            </w:r>
            <w:r w:rsidR="00CA55DB" w:rsidRPr="00CB7EDE">
              <w:rPr>
                <w:rFonts w:asciiTheme="minorEastAsia" w:eastAsiaTheme="minorEastAsia" w:hAnsiTheme="minorEastAsia"/>
                <w:noProof/>
                <w:webHidden/>
              </w:rPr>
              <w:t>5</w:t>
            </w:r>
            <w:r w:rsidR="00EF3207" w:rsidRPr="00CB7EDE">
              <w:rPr>
                <w:rFonts w:asciiTheme="minorEastAsia" w:eastAsiaTheme="minorEastAsia" w:hAnsiTheme="minorEastAsia"/>
                <w:noProof/>
                <w:webHidden/>
              </w:rPr>
              <w:fldChar w:fldCharType="end"/>
            </w:r>
          </w:hyperlink>
        </w:p>
        <w:p w:rsidR="00CA55DB" w:rsidRPr="00CB7EDE" w:rsidRDefault="00250A16" w:rsidP="00CB7EDE">
          <w:pPr>
            <w:pStyle w:val="30"/>
            <w:tabs>
              <w:tab w:val="right" w:leader="dot" w:pos="9060"/>
            </w:tabs>
            <w:spacing w:line="360" w:lineRule="auto"/>
            <w:ind w:leftChars="0" w:left="0" w:firstLineChars="100" w:firstLine="210"/>
            <w:rPr>
              <w:rFonts w:asciiTheme="minorEastAsia" w:eastAsiaTheme="minorEastAsia" w:hAnsiTheme="minorEastAsia" w:cstheme="minorBidi"/>
              <w:noProof/>
            </w:rPr>
          </w:pPr>
          <w:hyperlink w:anchor="_Toc462317686" w:history="1">
            <w:r w:rsidR="00CA55DB" w:rsidRPr="00CB7EDE">
              <w:rPr>
                <w:rStyle w:val="a3"/>
                <w:rFonts w:asciiTheme="minorEastAsia" w:eastAsiaTheme="minorEastAsia" w:hAnsiTheme="minorEastAsia"/>
                <w:noProof/>
                <w:kern w:val="0"/>
              </w:rPr>
              <w:t xml:space="preserve">5.3 </w:t>
            </w:r>
            <w:r w:rsidR="00CA55DB" w:rsidRPr="00CB7EDE">
              <w:rPr>
                <w:rStyle w:val="a3"/>
                <w:rFonts w:asciiTheme="minorEastAsia" w:eastAsiaTheme="minorEastAsia" w:hAnsiTheme="minorEastAsia" w:hint="eastAsia"/>
                <w:noProof/>
                <w:kern w:val="0"/>
              </w:rPr>
              <w:t>参考文献</w:t>
            </w:r>
            <w:r w:rsidR="00CA55DB" w:rsidRPr="00CB7EDE">
              <w:rPr>
                <w:rFonts w:asciiTheme="minorEastAsia" w:eastAsiaTheme="minorEastAsia" w:hAnsiTheme="minorEastAsia"/>
                <w:noProof/>
                <w:webHidden/>
              </w:rPr>
              <w:tab/>
            </w:r>
            <w:r w:rsidR="00EF3207" w:rsidRPr="00CB7EDE">
              <w:rPr>
                <w:rFonts w:asciiTheme="minorEastAsia" w:eastAsiaTheme="minorEastAsia" w:hAnsiTheme="minorEastAsia"/>
                <w:noProof/>
                <w:webHidden/>
              </w:rPr>
              <w:fldChar w:fldCharType="begin"/>
            </w:r>
            <w:r w:rsidR="00CA55DB" w:rsidRPr="00CB7EDE">
              <w:rPr>
                <w:rFonts w:asciiTheme="minorEastAsia" w:eastAsiaTheme="minorEastAsia" w:hAnsiTheme="minorEastAsia"/>
                <w:noProof/>
                <w:webHidden/>
              </w:rPr>
              <w:instrText xml:space="preserve"> PAGEREF _Toc462317686 \h </w:instrText>
            </w:r>
            <w:r w:rsidR="00EF3207" w:rsidRPr="00CB7EDE">
              <w:rPr>
                <w:rFonts w:asciiTheme="minorEastAsia" w:eastAsiaTheme="minorEastAsia" w:hAnsiTheme="minorEastAsia"/>
                <w:noProof/>
                <w:webHidden/>
              </w:rPr>
            </w:r>
            <w:r w:rsidR="00EF3207" w:rsidRPr="00CB7EDE">
              <w:rPr>
                <w:rFonts w:asciiTheme="minorEastAsia" w:eastAsiaTheme="minorEastAsia" w:hAnsiTheme="minorEastAsia"/>
                <w:noProof/>
                <w:webHidden/>
              </w:rPr>
              <w:fldChar w:fldCharType="separate"/>
            </w:r>
            <w:r w:rsidR="00CA55DB" w:rsidRPr="00CB7EDE">
              <w:rPr>
                <w:rFonts w:asciiTheme="minorEastAsia" w:eastAsiaTheme="minorEastAsia" w:hAnsiTheme="minorEastAsia"/>
                <w:noProof/>
                <w:webHidden/>
              </w:rPr>
              <w:t>5</w:t>
            </w:r>
            <w:r w:rsidR="00EF3207" w:rsidRPr="00CB7EDE">
              <w:rPr>
                <w:rFonts w:asciiTheme="minorEastAsia" w:eastAsiaTheme="minorEastAsia" w:hAnsiTheme="minorEastAsia"/>
                <w:noProof/>
                <w:webHidden/>
              </w:rPr>
              <w:fldChar w:fldCharType="end"/>
            </w:r>
          </w:hyperlink>
        </w:p>
        <w:p w:rsidR="00CA55DB" w:rsidRPr="00CB7EDE" w:rsidRDefault="00250A16" w:rsidP="00CB7EDE">
          <w:pPr>
            <w:pStyle w:val="10"/>
            <w:tabs>
              <w:tab w:val="right" w:leader="dot" w:pos="9060"/>
            </w:tabs>
            <w:spacing w:line="360" w:lineRule="auto"/>
            <w:rPr>
              <w:rFonts w:asciiTheme="minorEastAsia" w:eastAsiaTheme="minorEastAsia" w:hAnsiTheme="minorEastAsia" w:cstheme="minorBidi"/>
              <w:noProof/>
            </w:rPr>
          </w:pPr>
          <w:hyperlink w:anchor="_Toc462317687" w:history="1">
            <w:r w:rsidR="00CA55DB" w:rsidRPr="00CB7EDE">
              <w:rPr>
                <w:rStyle w:val="a3"/>
                <w:rFonts w:asciiTheme="minorEastAsia" w:eastAsiaTheme="minorEastAsia" w:hAnsiTheme="minorEastAsia"/>
                <w:noProof/>
                <w:kern w:val="0"/>
              </w:rPr>
              <w:t xml:space="preserve">6 </w:t>
            </w:r>
            <w:r w:rsidR="00CA55DB" w:rsidRPr="00CB7EDE">
              <w:rPr>
                <w:rStyle w:val="a3"/>
                <w:rFonts w:asciiTheme="minorEastAsia" w:eastAsiaTheme="minorEastAsia" w:hAnsiTheme="minorEastAsia" w:hint="eastAsia"/>
                <w:noProof/>
                <w:kern w:val="0"/>
              </w:rPr>
              <w:t>编制方法</w:t>
            </w:r>
            <w:r w:rsidR="00CA55DB" w:rsidRPr="00CB7EDE">
              <w:rPr>
                <w:rFonts w:asciiTheme="minorEastAsia" w:eastAsiaTheme="minorEastAsia" w:hAnsiTheme="minorEastAsia"/>
                <w:noProof/>
                <w:webHidden/>
              </w:rPr>
              <w:tab/>
            </w:r>
            <w:r w:rsidR="00EF3207" w:rsidRPr="00CB7EDE">
              <w:rPr>
                <w:rFonts w:asciiTheme="minorEastAsia" w:eastAsiaTheme="minorEastAsia" w:hAnsiTheme="minorEastAsia"/>
                <w:noProof/>
                <w:webHidden/>
              </w:rPr>
              <w:fldChar w:fldCharType="begin"/>
            </w:r>
            <w:r w:rsidR="00CA55DB" w:rsidRPr="00CB7EDE">
              <w:rPr>
                <w:rFonts w:asciiTheme="minorEastAsia" w:eastAsiaTheme="minorEastAsia" w:hAnsiTheme="minorEastAsia"/>
                <w:noProof/>
                <w:webHidden/>
              </w:rPr>
              <w:instrText xml:space="preserve"> PAGEREF _Toc462317687 \h </w:instrText>
            </w:r>
            <w:r w:rsidR="00EF3207" w:rsidRPr="00CB7EDE">
              <w:rPr>
                <w:rFonts w:asciiTheme="minorEastAsia" w:eastAsiaTheme="minorEastAsia" w:hAnsiTheme="minorEastAsia"/>
                <w:noProof/>
                <w:webHidden/>
              </w:rPr>
            </w:r>
            <w:r w:rsidR="00EF3207" w:rsidRPr="00CB7EDE">
              <w:rPr>
                <w:rFonts w:asciiTheme="minorEastAsia" w:eastAsiaTheme="minorEastAsia" w:hAnsiTheme="minorEastAsia"/>
                <w:noProof/>
                <w:webHidden/>
              </w:rPr>
              <w:fldChar w:fldCharType="separate"/>
            </w:r>
            <w:r w:rsidR="00CA55DB" w:rsidRPr="00CB7EDE">
              <w:rPr>
                <w:rFonts w:asciiTheme="minorEastAsia" w:eastAsiaTheme="minorEastAsia" w:hAnsiTheme="minorEastAsia"/>
                <w:noProof/>
                <w:webHidden/>
              </w:rPr>
              <w:t>5</w:t>
            </w:r>
            <w:r w:rsidR="00EF3207" w:rsidRPr="00CB7EDE">
              <w:rPr>
                <w:rFonts w:asciiTheme="minorEastAsia" w:eastAsiaTheme="minorEastAsia" w:hAnsiTheme="minorEastAsia"/>
                <w:noProof/>
                <w:webHidden/>
              </w:rPr>
              <w:fldChar w:fldCharType="end"/>
            </w:r>
          </w:hyperlink>
        </w:p>
        <w:p w:rsidR="00CA55DB" w:rsidRPr="00CB7EDE" w:rsidRDefault="00250A16" w:rsidP="00CB7EDE">
          <w:pPr>
            <w:pStyle w:val="10"/>
            <w:tabs>
              <w:tab w:val="right" w:leader="dot" w:pos="9060"/>
            </w:tabs>
            <w:spacing w:line="360" w:lineRule="auto"/>
            <w:rPr>
              <w:rFonts w:asciiTheme="minorEastAsia" w:eastAsiaTheme="minorEastAsia" w:hAnsiTheme="minorEastAsia" w:cstheme="minorBidi"/>
              <w:noProof/>
            </w:rPr>
          </w:pPr>
          <w:hyperlink w:anchor="_Toc462317688" w:history="1">
            <w:r w:rsidR="00CA55DB" w:rsidRPr="00CB7EDE">
              <w:rPr>
                <w:rStyle w:val="a3"/>
                <w:rFonts w:asciiTheme="minorEastAsia" w:eastAsiaTheme="minorEastAsia" w:hAnsiTheme="minorEastAsia"/>
                <w:noProof/>
                <w:kern w:val="0"/>
              </w:rPr>
              <w:t xml:space="preserve">7 </w:t>
            </w:r>
            <w:r w:rsidR="00CA55DB" w:rsidRPr="00CB7EDE">
              <w:rPr>
                <w:rStyle w:val="a3"/>
                <w:rFonts w:asciiTheme="minorEastAsia" w:eastAsiaTheme="minorEastAsia" w:hAnsiTheme="minorEastAsia" w:hint="eastAsia"/>
                <w:noProof/>
                <w:kern w:val="0"/>
              </w:rPr>
              <w:t>指标体系框架的确立</w:t>
            </w:r>
            <w:r w:rsidR="00CA55DB" w:rsidRPr="00CB7EDE">
              <w:rPr>
                <w:rFonts w:asciiTheme="minorEastAsia" w:eastAsiaTheme="minorEastAsia" w:hAnsiTheme="minorEastAsia"/>
                <w:noProof/>
                <w:webHidden/>
              </w:rPr>
              <w:tab/>
            </w:r>
            <w:r w:rsidR="00EF3207" w:rsidRPr="00CB7EDE">
              <w:rPr>
                <w:rFonts w:asciiTheme="minorEastAsia" w:eastAsiaTheme="minorEastAsia" w:hAnsiTheme="minorEastAsia"/>
                <w:noProof/>
                <w:webHidden/>
              </w:rPr>
              <w:fldChar w:fldCharType="begin"/>
            </w:r>
            <w:r w:rsidR="00CA55DB" w:rsidRPr="00CB7EDE">
              <w:rPr>
                <w:rFonts w:asciiTheme="minorEastAsia" w:eastAsiaTheme="minorEastAsia" w:hAnsiTheme="minorEastAsia"/>
                <w:noProof/>
                <w:webHidden/>
              </w:rPr>
              <w:instrText xml:space="preserve"> PAGEREF _Toc462317688 \h </w:instrText>
            </w:r>
            <w:r w:rsidR="00EF3207" w:rsidRPr="00CB7EDE">
              <w:rPr>
                <w:rFonts w:asciiTheme="minorEastAsia" w:eastAsiaTheme="minorEastAsia" w:hAnsiTheme="minorEastAsia"/>
                <w:noProof/>
                <w:webHidden/>
              </w:rPr>
            </w:r>
            <w:r w:rsidR="00EF3207" w:rsidRPr="00CB7EDE">
              <w:rPr>
                <w:rFonts w:asciiTheme="minorEastAsia" w:eastAsiaTheme="minorEastAsia" w:hAnsiTheme="minorEastAsia"/>
                <w:noProof/>
                <w:webHidden/>
              </w:rPr>
              <w:fldChar w:fldCharType="separate"/>
            </w:r>
            <w:r w:rsidR="00CA55DB" w:rsidRPr="00CB7EDE">
              <w:rPr>
                <w:rFonts w:asciiTheme="minorEastAsia" w:eastAsiaTheme="minorEastAsia" w:hAnsiTheme="minorEastAsia"/>
                <w:noProof/>
                <w:webHidden/>
              </w:rPr>
              <w:t>6</w:t>
            </w:r>
            <w:r w:rsidR="00EF3207" w:rsidRPr="00CB7EDE">
              <w:rPr>
                <w:rFonts w:asciiTheme="minorEastAsia" w:eastAsiaTheme="minorEastAsia" w:hAnsiTheme="minorEastAsia"/>
                <w:noProof/>
                <w:webHidden/>
              </w:rPr>
              <w:fldChar w:fldCharType="end"/>
            </w:r>
          </w:hyperlink>
        </w:p>
        <w:p w:rsidR="00CA55DB" w:rsidRPr="00CB7EDE" w:rsidRDefault="00250A16" w:rsidP="00CB7EDE">
          <w:pPr>
            <w:pStyle w:val="10"/>
            <w:tabs>
              <w:tab w:val="right" w:leader="dot" w:pos="9060"/>
            </w:tabs>
            <w:spacing w:line="360" w:lineRule="auto"/>
            <w:rPr>
              <w:rFonts w:asciiTheme="minorEastAsia" w:eastAsiaTheme="minorEastAsia" w:hAnsiTheme="minorEastAsia" w:cstheme="minorBidi"/>
              <w:noProof/>
            </w:rPr>
          </w:pPr>
          <w:hyperlink w:anchor="_Toc462317689" w:history="1">
            <w:r w:rsidR="00CA55DB" w:rsidRPr="00CB7EDE">
              <w:rPr>
                <w:rStyle w:val="a3"/>
                <w:rFonts w:asciiTheme="minorEastAsia" w:eastAsiaTheme="minorEastAsia" w:hAnsiTheme="minorEastAsia"/>
                <w:noProof/>
                <w:kern w:val="0"/>
              </w:rPr>
              <w:t xml:space="preserve">8 </w:t>
            </w:r>
            <w:r w:rsidR="00CA55DB" w:rsidRPr="00CB7EDE">
              <w:rPr>
                <w:rStyle w:val="a3"/>
                <w:rFonts w:asciiTheme="minorEastAsia" w:eastAsiaTheme="minorEastAsia" w:hAnsiTheme="minorEastAsia" w:hint="eastAsia"/>
                <w:noProof/>
                <w:kern w:val="0"/>
              </w:rPr>
              <w:t>指标内容的确定</w:t>
            </w:r>
            <w:r w:rsidR="00CA55DB" w:rsidRPr="00CB7EDE">
              <w:rPr>
                <w:rFonts w:asciiTheme="minorEastAsia" w:eastAsiaTheme="minorEastAsia" w:hAnsiTheme="minorEastAsia"/>
                <w:noProof/>
                <w:webHidden/>
              </w:rPr>
              <w:tab/>
            </w:r>
            <w:r w:rsidR="00EF3207" w:rsidRPr="00CB7EDE">
              <w:rPr>
                <w:rFonts w:asciiTheme="minorEastAsia" w:eastAsiaTheme="minorEastAsia" w:hAnsiTheme="minorEastAsia"/>
                <w:noProof/>
                <w:webHidden/>
              </w:rPr>
              <w:fldChar w:fldCharType="begin"/>
            </w:r>
            <w:r w:rsidR="00CA55DB" w:rsidRPr="00CB7EDE">
              <w:rPr>
                <w:rFonts w:asciiTheme="minorEastAsia" w:eastAsiaTheme="minorEastAsia" w:hAnsiTheme="minorEastAsia"/>
                <w:noProof/>
                <w:webHidden/>
              </w:rPr>
              <w:instrText xml:space="preserve"> PAGEREF _Toc462317689 \h </w:instrText>
            </w:r>
            <w:r w:rsidR="00EF3207" w:rsidRPr="00CB7EDE">
              <w:rPr>
                <w:rFonts w:asciiTheme="minorEastAsia" w:eastAsiaTheme="minorEastAsia" w:hAnsiTheme="minorEastAsia"/>
                <w:noProof/>
                <w:webHidden/>
              </w:rPr>
            </w:r>
            <w:r w:rsidR="00EF3207" w:rsidRPr="00CB7EDE">
              <w:rPr>
                <w:rFonts w:asciiTheme="minorEastAsia" w:eastAsiaTheme="minorEastAsia" w:hAnsiTheme="minorEastAsia"/>
                <w:noProof/>
                <w:webHidden/>
              </w:rPr>
              <w:fldChar w:fldCharType="separate"/>
            </w:r>
            <w:r w:rsidR="00CA55DB" w:rsidRPr="00CB7EDE">
              <w:rPr>
                <w:rFonts w:asciiTheme="minorEastAsia" w:eastAsiaTheme="minorEastAsia" w:hAnsiTheme="minorEastAsia"/>
                <w:noProof/>
                <w:webHidden/>
              </w:rPr>
              <w:t>6</w:t>
            </w:r>
            <w:r w:rsidR="00EF3207" w:rsidRPr="00CB7EDE">
              <w:rPr>
                <w:rFonts w:asciiTheme="minorEastAsia" w:eastAsiaTheme="minorEastAsia" w:hAnsiTheme="minorEastAsia"/>
                <w:noProof/>
                <w:webHidden/>
              </w:rPr>
              <w:fldChar w:fldCharType="end"/>
            </w:r>
          </w:hyperlink>
        </w:p>
        <w:p w:rsidR="00CA55DB" w:rsidRPr="00CB7EDE" w:rsidRDefault="00250A16" w:rsidP="00CB7EDE">
          <w:pPr>
            <w:pStyle w:val="30"/>
            <w:tabs>
              <w:tab w:val="right" w:leader="dot" w:pos="9060"/>
            </w:tabs>
            <w:spacing w:line="360" w:lineRule="auto"/>
            <w:ind w:leftChars="0" w:left="0" w:firstLineChars="100" w:firstLine="210"/>
            <w:rPr>
              <w:rFonts w:asciiTheme="minorEastAsia" w:eastAsiaTheme="minorEastAsia" w:hAnsiTheme="minorEastAsia" w:cstheme="minorBidi"/>
              <w:noProof/>
            </w:rPr>
          </w:pPr>
          <w:hyperlink w:anchor="_Toc462317690" w:history="1">
            <w:r w:rsidR="00CA55DB" w:rsidRPr="00CB7EDE">
              <w:rPr>
                <w:rStyle w:val="a3"/>
                <w:rFonts w:asciiTheme="minorEastAsia" w:eastAsiaTheme="minorEastAsia" w:hAnsiTheme="minorEastAsia"/>
                <w:noProof/>
                <w:kern w:val="0"/>
              </w:rPr>
              <w:t xml:space="preserve">8.1 </w:t>
            </w:r>
            <w:r w:rsidR="00CA55DB" w:rsidRPr="00CB7EDE">
              <w:rPr>
                <w:rStyle w:val="a3"/>
                <w:rFonts w:asciiTheme="minorEastAsia" w:eastAsiaTheme="minorEastAsia" w:hAnsiTheme="minorEastAsia" w:hint="eastAsia"/>
                <w:noProof/>
                <w:kern w:val="0"/>
              </w:rPr>
              <w:t>指标权重值的确定</w:t>
            </w:r>
            <w:r w:rsidR="00CA55DB" w:rsidRPr="00CB7EDE">
              <w:rPr>
                <w:rFonts w:asciiTheme="minorEastAsia" w:eastAsiaTheme="minorEastAsia" w:hAnsiTheme="minorEastAsia"/>
                <w:noProof/>
                <w:webHidden/>
              </w:rPr>
              <w:tab/>
            </w:r>
            <w:r w:rsidR="00EF3207" w:rsidRPr="00CB7EDE">
              <w:rPr>
                <w:rFonts w:asciiTheme="minorEastAsia" w:eastAsiaTheme="minorEastAsia" w:hAnsiTheme="minorEastAsia"/>
                <w:noProof/>
                <w:webHidden/>
              </w:rPr>
              <w:fldChar w:fldCharType="begin"/>
            </w:r>
            <w:r w:rsidR="00CA55DB" w:rsidRPr="00CB7EDE">
              <w:rPr>
                <w:rFonts w:asciiTheme="minorEastAsia" w:eastAsiaTheme="minorEastAsia" w:hAnsiTheme="minorEastAsia"/>
                <w:noProof/>
                <w:webHidden/>
              </w:rPr>
              <w:instrText xml:space="preserve"> PAGEREF _Toc462317690 \h </w:instrText>
            </w:r>
            <w:r w:rsidR="00EF3207" w:rsidRPr="00CB7EDE">
              <w:rPr>
                <w:rFonts w:asciiTheme="minorEastAsia" w:eastAsiaTheme="minorEastAsia" w:hAnsiTheme="minorEastAsia"/>
                <w:noProof/>
                <w:webHidden/>
              </w:rPr>
            </w:r>
            <w:r w:rsidR="00EF3207" w:rsidRPr="00CB7EDE">
              <w:rPr>
                <w:rFonts w:asciiTheme="minorEastAsia" w:eastAsiaTheme="minorEastAsia" w:hAnsiTheme="minorEastAsia"/>
                <w:noProof/>
                <w:webHidden/>
              </w:rPr>
              <w:fldChar w:fldCharType="separate"/>
            </w:r>
            <w:r w:rsidR="00CA55DB" w:rsidRPr="00CB7EDE">
              <w:rPr>
                <w:rFonts w:asciiTheme="minorEastAsia" w:eastAsiaTheme="minorEastAsia" w:hAnsiTheme="minorEastAsia"/>
                <w:noProof/>
                <w:webHidden/>
              </w:rPr>
              <w:t>6</w:t>
            </w:r>
            <w:r w:rsidR="00EF3207" w:rsidRPr="00CB7EDE">
              <w:rPr>
                <w:rFonts w:asciiTheme="minorEastAsia" w:eastAsiaTheme="minorEastAsia" w:hAnsiTheme="minorEastAsia"/>
                <w:noProof/>
                <w:webHidden/>
              </w:rPr>
              <w:fldChar w:fldCharType="end"/>
            </w:r>
          </w:hyperlink>
        </w:p>
        <w:p w:rsidR="00CA55DB" w:rsidRPr="00CB7EDE" w:rsidRDefault="00250A16" w:rsidP="00CB7EDE">
          <w:pPr>
            <w:pStyle w:val="30"/>
            <w:tabs>
              <w:tab w:val="right" w:leader="dot" w:pos="9060"/>
            </w:tabs>
            <w:spacing w:line="360" w:lineRule="auto"/>
            <w:ind w:leftChars="0" w:left="0" w:firstLineChars="300" w:firstLine="630"/>
            <w:rPr>
              <w:rFonts w:asciiTheme="minorEastAsia" w:eastAsiaTheme="minorEastAsia" w:hAnsiTheme="minorEastAsia" w:cstheme="minorBidi"/>
              <w:noProof/>
            </w:rPr>
          </w:pPr>
          <w:hyperlink w:anchor="_Toc462317691" w:history="1">
            <w:r w:rsidR="00CA55DB" w:rsidRPr="00CB7EDE">
              <w:rPr>
                <w:rStyle w:val="a3"/>
                <w:rFonts w:asciiTheme="minorEastAsia" w:eastAsiaTheme="minorEastAsia" w:hAnsiTheme="minorEastAsia"/>
                <w:noProof/>
                <w:kern w:val="0"/>
              </w:rPr>
              <w:t xml:space="preserve">8.1.1 </w:t>
            </w:r>
            <w:r w:rsidR="00CA55DB" w:rsidRPr="00CB7EDE">
              <w:rPr>
                <w:rStyle w:val="a3"/>
                <w:rFonts w:asciiTheme="minorEastAsia" w:eastAsiaTheme="minorEastAsia" w:hAnsiTheme="minorEastAsia" w:hint="eastAsia"/>
                <w:noProof/>
                <w:kern w:val="0"/>
              </w:rPr>
              <w:t>一级指标权重值的确定</w:t>
            </w:r>
            <w:r w:rsidR="00CA55DB" w:rsidRPr="00CB7EDE">
              <w:rPr>
                <w:rFonts w:asciiTheme="minorEastAsia" w:eastAsiaTheme="minorEastAsia" w:hAnsiTheme="minorEastAsia"/>
                <w:noProof/>
                <w:webHidden/>
              </w:rPr>
              <w:tab/>
            </w:r>
            <w:r w:rsidR="00EF3207" w:rsidRPr="00CB7EDE">
              <w:rPr>
                <w:rFonts w:asciiTheme="minorEastAsia" w:eastAsiaTheme="minorEastAsia" w:hAnsiTheme="minorEastAsia"/>
                <w:noProof/>
                <w:webHidden/>
              </w:rPr>
              <w:fldChar w:fldCharType="begin"/>
            </w:r>
            <w:r w:rsidR="00CA55DB" w:rsidRPr="00CB7EDE">
              <w:rPr>
                <w:rFonts w:asciiTheme="minorEastAsia" w:eastAsiaTheme="minorEastAsia" w:hAnsiTheme="minorEastAsia"/>
                <w:noProof/>
                <w:webHidden/>
              </w:rPr>
              <w:instrText xml:space="preserve"> PAGEREF _Toc462317691 \h </w:instrText>
            </w:r>
            <w:r w:rsidR="00EF3207" w:rsidRPr="00CB7EDE">
              <w:rPr>
                <w:rFonts w:asciiTheme="minorEastAsia" w:eastAsiaTheme="minorEastAsia" w:hAnsiTheme="minorEastAsia"/>
                <w:noProof/>
                <w:webHidden/>
              </w:rPr>
            </w:r>
            <w:r w:rsidR="00EF3207" w:rsidRPr="00CB7EDE">
              <w:rPr>
                <w:rFonts w:asciiTheme="minorEastAsia" w:eastAsiaTheme="minorEastAsia" w:hAnsiTheme="minorEastAsia"/>
                <w:noProof/>
                <w:webHidden/>
              </w:rPr>
              <w:fldChar w:fldCharType="separate"/>
            </w:r>
            <w:r w:rsidR="00CA55DB" w:rsidRPr="00CB7EDE">
              <w:rPr>
                <w:rFonts w:asciiTheme="minorEastAsia" w:eastAsiaTheme="minorEastAsia" w:hAnsiTheme="minorEastAsia"/>
                <w:noProof/>
                <w:webHidden/>
              </w:rPr>
              <w:t>6</w:t>
            </w:r>
            <w:r w:rsidR="00EF3207" w:rsidRPr="00CB7EDE">
              <w:rPr>
                <w:rFonts w:asciiTheme="minorEastAsia" w:eastAsiaTheme="minorEastAsia" w:hAnsiTheme="minorEastAsia"/>
                <w:noProof/>
                <w:webHidden/>
              </w:rPr>
              <w:fldChar w:fldCharType="end"/>
            </w:r>
          </w:hyperlink>
        </w:p>
        <w:p w:rsidR="00CA55DB" w:rsidRPr="00CB7EDE" w:rsidRDefault="00250A16" w:rsidP="00CB7EDE">
          <w:pPr>
            <w:pStyle w:val="30"/>
            <w:tabs>
              <w:tab w:val="right" w:leader="dot" w:pos="9060"/>
            </w:tabs>
            <w:spacing w:line="360" w:lineRule="auto"/>
            <w:ind w:leftChars="0" w:left="0" w:firstLineChars="300" w:firstLine="630"/>
            <w:rPr>
              <w:rFonts w:asciiTheme="minorEastAsia" w:eastAsiaTheme="minorEastAsia" w:hAnsiTheme="minorEastAsia" w:cstheme="minorBidi"/>
              <w:noProof/>
            </w:rPr>
          </w:pPr>
          <w:hyperlink w:anchor="_Toc462317692" w:history="1">
            <w:r w:rsidR="00CA55DB" w:rsidRPr="00CB7EDE">
              <w:rPr>
                <w:rStyle w:val="a3"/>
                <w:rFonts w:asciiTheme="minorEastAsia" w:eastAsiaTheme="minorEastAsia" w:hAnsiTheme="minorEastAsia"/>
                <w:noProof/>
                <w:kern w:val="0"/>
              </w:rPr>
              <w:t xml:space="preserve">8.1.2 </w:t>
            </w:r>
            <w:r w:rsidR="00CA55DB" w:rsidRPr="00CB7EDE">
              <w:rPr>
                <w:rStyle w:val="a3"/>
                <w:rFonts w:asciiTheme="minorEastAsia" w:eastAsiaTheme="minorEastAsia" w:hAnsiTheme="minorEastAsia" w:hint="eastAsia"/>
                <w:noProof/>
                <w:kern w:val="0"/>
              </w:rPr>
              <w:t>二级指标分权重值的确定</w:t>
            </w:r>
            <w:r w:rsidR="00CA55DB" w:rsidRPr="00CB7EDE">
              <w:rPr>
                <w:rFonts w:asciiTheme="minorEastAsia" w:eastAsiaTheme="minorEastAsia" w:hAnsiTheme="minorEastAsia"/>
                <w:noProof/>
                <w:webHidden/>
              </w:rPr>
              <w:tab/>
            </w:r>
            <w:r w:rsidR="00EF3207" w:rsidRPr="00CB7EDE">
              <w:rPr>
                <w:rFonts w:asciiTheme="minorEastAsia" w:eastAsiaTheme="minorEastAsia" w:hAnsiTheme="minorEastAsia"/>
                <w:noProof/>
                <w:webHidden/>
              </w:rPr>
              <w:fldChar w:fldCharType="begin"/>
            </w:r>
            <w:r w:rsidR="00CA55DB" w:rsidRPr="00CB7EDE">
              <w:rPr>
                <w:rFonts w:asciiTheme="minorEastAsia" w:eastAsiaTheme="minorEastAsia" w:hAnsiTheme="minorEastAsia"/>
                <w:noProof/>
                <w:webHidden/>
              </w:rPr>
              <w:instrText xml:space="preserve"> PAGEREF _Toc462317692 \h </w:instrText>
            </w:r>
            <w:r w:rsidR="00EF3207" w:rsidRPr="00CB7EDE">
              <w:rPr>
                <w:rFonts w:asciiTheme="minorEastAsia" w:eastAsiaTheme="minorEastAsia" w:hAnsiTheme="minorEastAsia"/>
                <w:noProof/>
                <w:webHidden/>
              </w:rPr>
            </w:r>
            <w:r w:rsidR="00EF3207" w:rsidRPr="00CB7EDE">
              <w:rPr>
                <w:rFonts w:asciiTheme="minorEastAsia" w:eastAsiaTheme="minorEastAsia" w:hAnsiTheme="minorEastAsia"/>
                <w:noProof/>
                <w:webHidden/>
              </w:rPr>
              <w:fldChar w:fldCharType="separate"/>
            </w:r>
            <w:r w:rsidR="00CA55DB" w:rsidRPr="00CB7EDE">
              <w:rPr>
                <w:rFonts w:asciiTheme="minorEastAsia" w:eastAsiaTheme="minorEastAsia" w:hAnsiTheme="minorEastAsia"/>
                <w:noProof/>
                <w:webHidden/>
              </w:rPr>
              <w:t>6</w:t>
            </w:r>
            <w:r w:rsidR="00EF3207" w:rsidRPr="00CB7EDE">
              <w:rPr>
                <w:rFonts w:asciiTheme="minorEastAsia" w:eastAsiaTheme="minorEastAsia" w:hAnsiTheme="minorEastAsia"/>
                <w:noProof/>
                <w:webHidden/>
              </w:rPr>
              <w:fldChar w:fldCharType="end"/>
            </w:r>
          </w:hyperlink>
        </w:p>
        <w:p w:rsidR="00CA55DB" w:rsidRPr="00CB7EDE" w:rsidRDefault="00250A16" w:rsidP="00CB7EDE">
          <w:pPr>
            <w:pStyle w:val="30"/>
            <w:tabs>
              <w:tab w:val="right" w:leader="dot" w:pos="9060"/>
            </w:tabs>
            <w:spacing w:line="360" w:lineRule="auto"/>
            <w:ind w:leftChars="0" w:left="0" w:firstLineChars="100" w:firstLine="210"/>
            <w:rPr>
              <w:rFonts w:asciiTheme="minorEastAsia" w:eastAsiaTheme="minorEastAsia" w:hAnsiTheme="minorEastAsia" w:cstheme="minorBidi"/>
              <w:noProof/>
            </w:rPr>
          </w:pPr>
          <w:hyperlink w:anchor="_Toc462317693" w:history="1">
            <w:r w:rsidR="00CA55DB" w:rsidRPr="00CB7EDE">
              <w:rPr>
                <w:rStyle w:val="a3"/>
                <w:rFonts w:asciiTheme="minorEastAsia" w:eastAsiaTheme="minorEastAsia" w:hAnsiTheme="minorEastAsia"/>
                <w:noProof/>
                <w:kern w:val="0"/>
              </w:rPr>
              <w:t xml:space="preserve">8.2 </w:t>
            </w:r>
            <w:r w:rsidR="00CA55DB" w:rsidRPr="00CB7EDE">
              <w:rPr>
                <w:rStyle w:val="a3"/>
                <w:rFonts w:asciiTheme="minorEastAsia" w:eastAsiaTheme="minorEastAsia" w:hAnsiTheme="minorEastAsia" w:hint="eastAsia"/>
                <w:noProof/>
                <w:kern w:val="0"/>
              </w:rPr>
              <w:t>二级指标基准值的确定</w:t>
            </w:r>
            <w:r w:rsidR="00CA55DB" w:rsidRPr="00CB7EDE">
              <w:rPr>
                <w:rFonts w:asciiTheme="minorEastAsia" w:eastAsiaTheme="minorEastAsia" w:hAnsiTheme="minorEastAsia"/>
                <w:noProof/>
                <w:webHidden/>
              </w:rPr>
              <w:tab/>
            </w:r>
            <w:r w:rsidR="00EF3207" w:rsidRPr="00CB7EDE">
              <w:rPr>
                <w:rFonts w:asciiTheme="minorEastAsia" w:eastAsiaTheme="minorEastAsia" w:hAnsiTheme="minorEastAsia"/>
                <w:noProof/>
                <w:webHidden/>
              </w:rPr>
              <w:fldChar w:fldCharType="begin"/>
            </w:r>
            <w:r w:rsidR="00CA55DB" w:rsidRPr="00CB7EDE">
              <w:rPr>
                <w:rFonts w:asciiTheme="minorEastAsia" w:eastAsiaTheme="minorEastAsia" w:hAnsiTheme="minorEastAsia"/>
                <w:noProof/>
                <w:webHidden/>
              </w:rPr>
              <w:instrText xml:space="preserve"> PAGEREF _Toc462317693 \h </w:instrText>
            </w:r>
            <w:r w:rsidR="00EF3207" w:rsidRPr="00CB7EDE">
              <w:rPr>
                <w:rFonts w:asciiTheme="minorEastAsia" w:eastAsiaTheme="minorEastAsia" w:hAnsiTheme="minorEastAsia"/>
                <w:noProof/>
                <w:webHidden/>
              </w:rPr>
            </w:r>
            <w:r w:rsidR="00EF3207" w:rsidRPr="00CB7EDE">
              <w:rPr>
                <w:rFonts w:asciiTheme="minorEastAsia" w:eastAsiaTheme="minorEastAsia" w:hAnsiTheme="minorEastAsia"/>
                <w:noProof/>
                <w:webHidden/>
              </w:rPr>
              <w:fldChar w:fldCharType="separate"/>
            </w:r>
            <w:r w:rsidR="00CA55DB" w:rsidRPr="00CB7EDE">
              <w:rPr>
                <w:rFonts w:asciiTheme="minorEastAsia" w:eastAsiaTheme="minorEastAsia" w:hAnsiTheme="minorEastAsia"/>
                <w:noProof/>
                <w:webHidden/>
              </w:rPr>
              <w:t>7</w:t>
            </w:r>
            <w:r w:rsidR="00EF3207" w:rsidRPr="00CB7EDE">
              <w:rPr>
                <w:rFonts w:asciiTheme="minorEastAsia" w:eastAsiaTheme="minorEastAsia" w:hAnsiTheme="minorEastAsia"/>
                <w:noProof/>
                <w:webHidden/>
              </w:rPr>
              <w:fldChar w:fldCharType="end"/>
            </w:r>
          </w:hyperlink>
        </w:p>
        <w:p w:rsidR="00CA55DB" w:rsidRPr="00CB7EDE" w:rsidRDefault="00250A16" w:rsidP="00CB7EDE">
          <w:pPr>
            <w:pStyle w:val="10"/>
            <w:tabs>
              <w:tab w:val="right" w:leader="dot" w:pos="9060"/>
            </w:tabs>
            <w:spacing w:line="360" w:lineRule="auto"/>
            <w:rPr>
              <w:rFonts w:asciiTheme="minorEastAsia" w:eastAsiaTheme="minorEastAsia" w:hAnsiTheme="minorEastAsia" w:cstheme="minorBidi"/>
              <w:noProof/>
            </w:rPr>
          </w:pPr>
          <w:hyperlink w:anchor="_Toc462317694" w:history="1">
            <w:r w:rsidR="00CA55DB" w:rsidRPr="00CB7EDE">
              <w:rPr>
                <w:rStyle w:val="a3"/>
                <w:rFonts w:asciiTheme="minorEastAsia" w:eastAsiaTheme="minorEastAsia" w:hAnsiTheme="minorEastAsia"/>
                <w:noProof/>
                <w:kern w:val="0"/>
              </w:rPr>
              <w:t xml:space="preserve">9 </w:t>
            </w:r>
            <w:r w:rsidR="00CA55DB" w:rsidRPr="00CB7EDE">
              <w:rPr>
                <w:rStyle w:val="a3"/>
                <w:rFonts w:asciiTheme="minorEastAsia" w:eastAsiaTheme="minorEastAsia" w:hAnsiTheme="minorEastAsia" w:hint="eastAsia"/>
                <w:noProof/>
                <w:kern w:val="0"/>
              </w:rPr>
              <w:t>指标体系实施的可行性分析</w:t>
            </w:r>
            <w:r w:rsidR="00CA55DB" w:rsidRPr="00CB7EDE">
              <w:rPr>
                <w:rFonts w:asciiTheme="minorEastAsia" w:eastAsiaTheme="minorEastAsia" w:hAnsiTheme="minorEastAsia"/>
                <w:noProof/>
                <w:webHidden/>
              </w:rPr>
              <w:tab/>
            </w:r>
            <w:r w:rsidR="00EF3207" w:rsidRPr="00CB7EDE">
              <w:rPr>
                <w:rFonts w:asciiTheme="minorEastAsia" w:eastAsiaTheme="minorEastAsia" w:hAnsiTheme="minorEastAsia"/>
                <w:noProof/>
                <w:webHidden/>
              </w:rPr>
              <w:fldChar w:fldCharType="begin"/>
            </w:r>
            <w:r w:rsidR="00CA55DB" w:rsidRPr="00CB7EDE">
              <w:rPr>
                <w:rFonts w:asciiTheme="minorEastAsia" w:eastAsiaTheme="minorEastAsia" w:hAnsiTheme="minorEastAsia"/>
                <w:noProof/>
                <w:webHidden/>
              </w:rPr>
              <w:instrText xml:space="preserve"> PAGEREF _Toc462317694 \h </w:instrText>
            </w:r>
            <w:r w:rsidR="00EF3207" w:rsidRPr="00CB7EDE">
              <w:rPr>
                <w:rFonts w:asciiTheme="minorEastAsia" w:eastAsiaTheme="minorEastAsia" w:hAnsiTheme="minorEastAsia"/>
                <w:noProof/>
                <w:webHidden/>
              </w:rPr>
            </w:r>
            <w:r w:rsidR="00EF3207" w:rsidRPr="00CB7EDE">
              <w:rPr>
                <w:rFonts w:asciiTheme="minorEastAsia" w:eastAsiaTheme="minorEastAsia" w:hAnsiTheme="minorEastAsia"/>
                <w:noProof/>
                <w:webHidden/>
              </w:rPr>
              <w:fldChar w:fldCharType="separate"/>
            </w:r>
            <w:r w:rsidR="00CA55DB" w:rsidRPr="00CB7EDE">
              <w:rPr>
                <w:rFonts w:asciiTheme="minorEastAsia" w:eastAsiaTheme="minorEastAsia" w:hAnsiTheme="minorEastAsia"/>
                <w:noProof/>
                <w:webHidden/>
              </w:rPr>
              <w:t>9</w:t>
            </w:r>
            <w:r w:rsidR="00EF3207" w:rsidRPr="00CB7EDE">
              <w:rPr>
                <w:rFonts w:asciiTheme="minorEastAsia" w:eastAsiaTheme="minorEastAsia" w:hAnsiTheme="minorEastAsia"/>
                <w:noProof/>
                <w:webHidden/>
              </w:rPr>
              <w:fldChar w:fldCharType="end"/>
            </w:r>
          </w:hyperlink>
        </w:p>
        <w:p w:rsidR="00CA55DB" w:rsidRPr="00CB7EDE" w:rsidRDefault="00250A16" w:rsidP="00CB7EDE">
          <w:pPr>
            <w:pStyle w:val="10"/>
            <w:tabs>
              <w:tab w:val="right" w:leader="dot" w:pos="9060"/>
            </w:tabs>
            <w:spacing w:line="360" w:lineRule="auto"/>
            <w:rPr>
              <w:rFonts w:asciiTheme="minorEastAsia" w:eastAsiaTheme="minorEastAsia" w:hAnsiTheme="minorEastAsia" w:cstheme="minorBidi"/>
              <w:noProof/>
            </w:rPr>
          </w:pPr>
          <w:hyperlink w:anchor="_Toc462317695" w:history="1">
            <w:r w:rsidR="00CA55DB" w:rsidRPr="00CB7EDE">
              <w:rPr>
                <w:rStyle w:val="a3"/>
                <w:rFonts w:asciiTheme="minorEastAsia" w:eastAsiaTheme="minorEastAsia" w:hAnsiTheme="minorEastAsia"/>
                <w:noProof/>
                <w:kern w:val="0"/>
              </w:rPr>
              <w:t xml:space="preserve">10 </w:t>
            </w:r>
            <w:r w:rsidR="00CA55DB" w:rsidRPr="00CB7EDE">
              <w:rPr>
                <w:rStyle w:val="a3"/>
                <w:rFonts w:asciiTheme="minorEastAsia" w:eastAsiaTheme="minorEastAsia" w:hAnsiTheme="minorEastAsia" w:hint="eastAsia"/>
                <w:noProof/>
                <w:kern w:val="0"/>
              </w:rPr>
              <w:t>指标体系实施的节能减排潜力分析</w:t>
            </w:r>
            <w:r w:rsidR="00CA55DB" w:rsidRPr="00CB7EDE">
              <w:rPr>
                <w:rFonts w:asciiTheme="minorEastAsia" w:eastAsiaTheme="minorEastAsia" w:hAnsiTheme="minorEastAsia"/>
                <w:noProof/>
                <w:webHidden/>
              </w:rPr>
              <w:tab/>
            </w:r>
            <w:r w:rsidR="00EF3207" w:rsidRPr="00CB7EDE">
              <w:rPr>
                <w:rFonts w:asciiTheme="minorEastAsia" w:eastAsiaTheme="minorEastAsia" w:hAnsiTheme="minorEastAsia"/>
                <w:noProof/>
                <w:webHidden/>
              </w:rPr>
              <w:fldChar w:fldCharType="begin"/>
            </w:r>
            <w:r w:rsidR="00CA55DB" w:rsidRPr="00CB7EDE">
              <w:rPr>
                <w:rFonts w:asciiTheme="minorEastAsia" w:eastAsiaTheme="minorEastAsia" w:hAnsiTheme="minorEastAsia"/>
                <w:noProof/>
                <w:webHidden/>
              </w:rPr>
              <w:instrText xml:space="preserve"> PAGEREF _Toc462317695 \h </w:instrText>
            </w:r>
            <w:r w:rsidR="00EF3207" w:rsidRPr="00CB7EDE">
              <w:rPr>
                <w:rFonts w:asciiTheme="minorEastAsia" w:eastAsiaTheme="minorEastAsia" w:hAnsiTheme="minorEastAsia"/>
                <w:noProof/>
                <w:webHidden/>
              </w:rPr>
            </w:r>
            <w:r w:rsidR="00EF3207" w:rsidRPr="00CB7EDE">
              <w:rPr>
                <w:rFonts w:asciiTheme="minorEastAsia" w:eastAsiaTheme="minorEastAsia" w:hAnsiTheme="minorEastAsia"/>
                <w:noProof/>
                <w:webHidden/>
              </w:rPr>
              <w:fldChar w:fldCharType="separate"/>
            </w:r>
            <w:r w:rsidR="00CA55DB" w:rsidRPr="00CB7EDE">
              <w:rPr>
                <w:rFonts w:asciiTheme="minorEastAsia" w:eastAsiaTheme="minorEastAsia" w:hAnsiTheme="minorEastAsia"/>
                <w:noProof/>
                <w:webHidden/>
              </w:rPr>
              <w:t>10</w:t>
            </w:r>
            <w:r w:rsidR="00EF3207" w:rsidRPr="00CB7EDE">
              <w:rPr>
                <w:rFonts w:asciiTheme="minorEastAsia" w:eastAsiaTheme="minorEastAsia" w:hAnsiTheme="minorEastAsia"/>
                <w:noProof/>
                <w:webHidden/>
              </w:rPr>
              <w:fldChar w:fldCharType="end"/>
            </w:r>
          </w:hyperlink>
        </w:p>
        <w:p w:rsidR="00CA55DB" w:rsidRDefault="00EF3207" w:rsidP="00CB7EDE">
          <w:pPr>
            <w:spacing w:line="360" w:lineRule="auto"/>
          </w:pPr>
          <w:r w:rsidRPr="00CB7EDE">
            <w:rPr>
              <w:rFonts w:asciiTheme="minorEastAsia" w:eastAsiaTheme="minorEastAsia" w:hAnsiTheme="minorEastAsia"/>
              <w:b/>
              <w:bCs/>
              <w:lang w:val="zh-CN"/>
            </w:rPr>
            <w:fldChar w:fldCharType="end"/>
          </w:r>
        </w:p>
      </w:sdtContent>
    </w:sdt>
    <w:p w:rsidR="00CA55DB" w:rsidRDefault="00CA55DB" w:rsidP="00822F4E">
      <w:pPr>
        <w:autoSpaceDE w:val="0"/>
        <w:autoSpaceDN w:val="0"/>
        <w:adjustRightInd w:val="0"/>
        <w:spacing w:line="360" w:lineRule="auto"/>
        <w:outlineLvl w:val="0"/>
        <w:rPr>
          <w:rFonts w:ascii="Times New Roman" w:hAnsi="Times New Roman"/>
          <w:kern w:val="0"/>
          <w:sz w:val="24"/>
          <w:szCs w:val="24"/>
        </w:rPr>
        <w:sectPr w:rsidR="00CA55DB" w:rsidSect="002D6992">
          <w:pgSz w:w="11906" w:h="16838"/>
          <w:pgMar w:top="1418" w:right="1418" w:bottom="1418" w:left="1418" w:header="851" w:footer="992" w:gutter="0"/>
          <w:pgNumType w:fmt="upperRoman"/>
          <w:cols w:space="425"/>
          <w:docGrid w:linePitch="312"/>
        </w:sectPr>
      </w:pPr>
      <w:bookmarkStart w:id="2" w:name="_Toc462317675"/>
    </w:p>
    <w:p w:rsidR="00D06F00" w:rsidRDefault="00D06F00" w:rsidP="00822F4E">
      <w:pPr>
        <w:autoSpaceDE w:val="0"/>
        <w:autoSpaceDN w:val="0"/>
        <w:adjustRightInd w:val="0"/>
        <w:spacing w:line="360" w:lineRule="auto"/>
        <w:outlineLvl w:val="0"/>
        <w:rPr>
          <w:rFonts w:ascii="Times New Roman" w:hAnsi="Times New Roman"/>
          <w:kern w:val="0"/>
          <w:sz w:val="24"/>
          <w:szCs w:val="24"/>
        </w:rPr>
      </w:pPr>
      <w:r>
        <w:rPr>
          <w:rFonts w:ascii="Times New Roman" w:hAnsi="Times New Roman"/>
          <w:kern w:val="0"/>
          <w:sz w:val="24"/>
          <w:szCs w:val="24"/>
        </w:rPr>
        <w:lastRenderedPageBreak/>
        <w:t>1.</w:t>
      </w:r>
      <w:r>
        <w:rPr>
          <w:rFonts w:ascii="Times New Roman" w:hAnsi="Times New Roman" w:hint="eastAsia"/>
          <w:kern w:val="0"/>
          <w:sz w:val="24"/>
          <w:szCs w:val="24"/>
        </w:rPr>
        <w:t>前言</w:t>
      </w:r>
      <w:bookmarkEnd w:id="1"/>
      <w:bookmarkEnd w:id="2"/>
    </w:p>
    <w:p w:rsidR="00D06F00" w:rsidRPr="00822F4E" w:rsidRDefault="00D06F00" w:rsidP="00822F4E">
      <w:pPr>
        <w:pStyle w:val="3"/>
        <w:spacing w:before="0" w:after="0" w:line="460" w:lineRule="exact"/>
        <w:rPr>
          <w:rFonts w:ascii="黑体" w:eastAsia="黑体" w:hAnsi="黑体"/>
          <w:b w:val="0"/>
          <w:kern w:val="0"/>
          <w:sz w:val="24"/>
          <w:szCs w:val="24"/>
        </w:rPr>
      </w:pPr>
      <w:bookmarkStart w:id="3" w:name="_Toc462317570"/>
      <w:bookmarkStart w:id="4" w:name="_Toc462317676"/>
      <w:r w:rsidRPr="00822F4E">
        <w:rPr>
          <w:rFonts w:ascii="黑体" w:eastAsia="黑体" w:hAnsi="黑体"/>
          <w:b w:val="0"/>
          <w:kern w:val="0"/>
          <w:sz w:val="24"/>
          <w:szCs w:val="24"/>
        </w:rPr>
        <w:t xml:space="preserve">1.1 </w:t>
      </w:r>
      <w:r w:rsidRPr="00822F4E">
        <w:rPr>
          <w:rFonts w:ascii="黑体" w:eastAsia="黑体" w:hAnsi="黑体" w:hint="eastAsia"/>
          <w:b w:val="0"/>
          <w:kern w:val="0"/>
          <w:sz w:val="24"/>
          <w:szCs w:val="24"/>
        </w:rPr>
        <w:t>指标体系编制出台的背景</w:t>
      </w:r>
      <w:bookmarkEnd w:id="3"/>
      <w:bookmarkEnd w:id="4"/>
    </w:p>
    <w:p w:rsidR="00D06F00" w:rsidRDefault="00D06F00" w:rsidP="00D06F00">
      <w:pPr>
        <w:autoSpaceDE w:val="0"/>
        <w:autoSpaceDN w:val="0"/>
        <w:adjustRightInd w:val="0"/>
        <w:spacing w:line="460" w:lineRule="exact"/>
        <w:ind w:firstLineChars="200" w:firstLine="480"/>
        <w:rPr>
          <w:rFonts w:ascii="Times New Roman" w:hAnsi="Times New Roman"/>
          <w:color w:val="FF0000"/>
          <w:kern w:val="0"/>
          <w:sz w:val="24"/>
          <w:szCs w:val="24"/>
        </w:rPr>
      </w:pPr>
      <w:r>
        <w:rPr>
          <w:rFonts w:ascii="Times New Roman" w:hAnsi="Times New Roman" w:hint="eastAsia"/>
          <w:kern w:val="0"/>
          <w:sz w:val="24"/>
          <w:szCs w:val="24"/>
        </w:rPr>
        <w:t>为进一步贯彻落实《中华人民共和国清洁生产促进法》，国家发展和改革委员会根据国务院中央编办发〔</w:t>
      </w:r>
      <w:r>
        <w:rPr>
          <w:rFonts w:ascii="Times New Roman" w:hAnsi="Times New Roman"/>
          <w:kern w:val="0"/>
          <w:sz w:val="24"/>
          <w:szCs w:val="24"/>
        </w:rPr>
        <w:t>2010</w:t>
      </w:r>
      <w:r>
        <w:rPr>
          <w:rFonts w:ascii="Times New Roman" w:hAnsi="Times New Roman" w:hint="eastAsia"/>
          <w:kern w:val="0"/>
          <w:sz w:val="24"/>
          <w:szCs w:val="24"/>
        </w:rPr>
        <w:t>〕</w:t>
      </w:r>
      <w:r>
        <w:rPr>
          <w:rFonts w:ascii="Times New Roman" w:hAnsi="Times New Roman"/>
          <w:kern w:val="0"/>
          <w:sz w:val="24"/>
          <w:szCs w:val="24"/>
        </w:rPr>
        <w:t>108</w:t>
      </w:r>
      <w:r>
        <w:rPr>
          <w:rFonts w:ascii="Times New Roman" w:hAnsi="Times New Roman" w:hint="eastAsia"/>
          <w:kern w:val="0"/>
          <w:sz w:val="24"/>
          <w:szCs w:val="24"/>
        </w:rPr>
        <w:t>号《关于进一步落实清洁生产促进工作职责分工的意见》</w:t>
      </w:r>
      <w:r>
        <w:rPr>
          <w:rFonts w:ascii="Times New Roman" w:hAnsi="Times New Roman"/>
          <w:kern w:val="0"/>
          <w:sz w:val="24"/>
          <w:szCs w:val="24"/>
        </w:rPr>
        <w:t>)</w:t>
      </w:r>
      <w:r>
        <w:rPr>
          <w:rFonts w:ascii="Times New Roman" w:hAnsi="Times New Roman" w:hint="eastAsia"/>
          <w:kern w:val="0"/>
          <w:sz w:val="24"/>
          <w:szCs w:val="24"/>
        </w:rPr>
        <w:t>中的有关要求，于</w:t>
      </w:r>
      <w:r>
        <w:rPr>
          <w:rFonts w:ascii="Times New Roman" w:hAnsi="Times New Roman"/>
          <w:kern w:val="0"/>
          <w:sz w:val="24"/>
          <w:szCs w:val="24"/>
        </w:rPr>
        <w:t>2012</w:t>
      </w:r>
      <w:r>
        <w:rPr>
          <w:rFonts w:ascii="Times New Roman" w:hAnsi="Times New Roman" w:hint="eastAsia"/>
          <w:kern w:val="0"/>
          <w:sz w:val="24"/>
          <w:szCs w:val="24"/>
        </w:rPr>
        <w:t>年</w:t>
      </w:r>
      <w:r>
        <w:rPr>
          <w:rFonts w:ascii="Times New Roman" w:hAnsi="Times New Roman"/>
          <w:kern w:val="0"/>
          <w:sz w:val="24"/>
          <w:szCs w:val="24"/>
        </w:rPr>
        <w:t>4</w:t>
      </w:r>
      <w:r>
        <w:rPr>
          <w:rFonts w:ascii="Times New Roman" w:hAnsi="Times New Roman" w:hint="eastAsia"/>
          <w:kern w:val="0"/>
          <w:sz w:val="24"/>
          <w:szCs w:val="24"/>
        </w:rPr>
        <w:t>月</w:t>
      </w:r>
      <w:r>
        <w:rPr>
          <w:rFonts w:ascii="Times New Roman" w:hAnsi="Times New Roman"/>
          <w:kern w:val="0"/>
          <w:sz w:val="24"/>
          <w:szCs w:val="24"/>
        </w:rPr>
        <w:t>26</w:t>
      </w:r>
      <w:r>
        <w:rPr>
          <w:rFonts w:ascii="Times New Roman" w:hAnsi="Times New Roman" w:hint="eastAsia"/>
          <w:kern w:val="0"/>
          <w:sz w:val="24"/>
          <w:szCs w:val="24"/>
        </w:rPr>
        <w:t>日，组织有全国人大环资委、国家工业和信息化部、国家环境保护部、在京各行业协会、行业清洁生产中心参加的清洁生产标准统编工作会议，对行业清洁生产标准统编工作提出具体要求，对各行业协会清洁生产统编工作进行了安排</w:t>
      </w:r>
      <w:proofErr w:type="gramStart"/>
      <w:r>
        <w:rPr>
          <w:rFonts w:ascii="Times New Roman" w:hAnsi="Times New Roman" w:hint="eastAsia"/>
          <w:kern w:val="0"/>
          <w:sz w:val="24"/>
          <w:szCs w:val="24"/>
        </w:rPr>
        <w:t>布署</w:t>
      </w:r>
      <w:proofErr w:type="gramEnd"/>
      <w:r>
        <w:rPr>
          <w:rFonts w:ascii="Times New Roman" w:hAnsi="Times New Roman" w:hint="eastAsia"/>
          <w:kern w:val="0"/>
          <w:sz w:val="24"/>
          <w:szCs w:val="24"/>
        </w:rPr>
        <w:t>。根据工业和信息化部要求，中国医药企业管理协会负责起草化学原料药行业清洁生产评价指标体系。协会成立了指标体系编制工作小组，制订指标体系编制工作计划，组织开展指标体系编制工作。于</w:t>
      </w:r>
      <w:r>
        <w:rPr>
          <w:rFonts w:ascii="Times New Roman" w:hAnsi="Times New Roman"/>
          <w:kern w:val="0"/>
          <w:sz w:val="24"/>
          <w:szCs w:val="24"/>
        </w:rPr>
        <w:t>2013</w:t>
      </w:r>
      <w:r>
        <w:rPr>
          <w:rFonts w:ascii="Times New Roman" w:hAnsi="Times New Roman" w:hint="eastAsia"/>
          <w:kern w:val="0"/>
          <w:sz w:val="24"/>
          <w:szCs w:val="24"/>
        </w:rPr>
        <w:t>年</w:t>
      </w:r>
      <w:r>
        <w:rPr>
          <w:rFonts w:ascii="Times New Roman" w:hAnsi="Times New Roman"/>
          <w:kern w:val="0"/>
          <w:sz w:val="24"/>
          <w:szCs w:val="24"/>
        </w:rPr>
        <w:t>10</w:t>
      </w:r>
      <w:r>
        <w:rPr>
          <w:rFonts w:ascii="Times New Roman" w:hAnsi="Times New Roman" w:hint="eastAsia"/>
          <w:kern w:val="0"/>
          <w:sz w:val="24"/>
          <w:szCs w:val="24"/>
        </w:rPr>
        <w:t>月完成了化学原料药行业清洁生产评价指标体系文本及编写说明初稿等编制工作。</w:t>
      </w:r>
    </w:p>
    <w:p w:rsidR="00D06F00" w:rsidRPr="00822F4E" w:rsidRDefault="00D06F00" w:rsidP="00D06F00">
      <w:pPr>
        <w:pStyle w:val="3"/>
        <w:spacing w:before="0" w:after="0" w:line="460" w:lineRule="exact"/>
        <w:rPr>
          <w:rFonts w:ascii="黑体" w:eastAsia="黑体" w:hAnsi="黑体"/>
          <w:b w:val="0"/>
          <w:kern w:val="0"/>
          <w:sz w:val="24"/>
          <w:szCs w:val="24"/>
        </w:rPr>
      </w:pPr>
      <w:bookmarkStart w:id="5" w:name="_Toc462317571"/>
      <w:bookmarkStart w:id="6" w:name="_Toc462317677"/>
      <w:r w:rsidRPr="00822F4E">
        <w:rPr>
          <w:rFonts w:ascii="黑体" w:eastAsia="黑体" w:hAnsi="黑体"/>
          <w:b w:val="0"/>
          <w:kern w:val="0"/>
          <w:sz w:val="24"/>
          <w:szCs w:val="24"/>
        </w:rPr>
        <w:t xml:space="preserve">1.2 </w:t>
      </w:r>
      <w:r w:rsidRPr="00822F4E">
        <w:rPr>
          <w:rFonts w:ascii="黑体" w:eastAsia="黑体" w:hAnsi="黑体" w:hint="eastAsia"/>
          <w:b w:val="0"/>
          <w:kern w:val="0"/>
          <w:sz w:val="24"/>
          <w:szCs w:val="24"/>
        </w:rPr>
        <w:t>指标体系编制的必要性与紧迫性</w:t>
      </w:r>
      <w:bookmarkEnd w:id="5"/>
      <w:bookmarkEnd w:id="6"/>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1</w:t>
      </w:r>
      <w:r>
        <w:rPr>
          <w:rFonts w:ascii="Times New Roman" w:hAnsi="Times New Roman" w:hint="eastAsia"/>
          <w:kern w:val="0"/>
          <w:sz w:val="24"/>
          <w:szCs w:val="24"/>
        </w:rPr>
        <w:t>）为政府主管部门提供化学原料药行业清洁生产管理手段</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政府主管部门需要了解化学原料药行业清洁生产水平状况、评估化学原料药企业清洁生产绩效、设置化学原料药行业节能减排导向目标；以及需要制定化学原料药产业发展政策，促进化学原料药行业实施清洁生产，进而规范和指导化学原料药行业清洁生产持续有效地向前发展，在化学原料药企业中建立并形成长期有效的清洁生产机制。</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根据国务院中编办文件，由国家发展和改革委员会统一组织各部委和各行业清洁生产标准的编制工作。统编后的行业清洁生产评价指标体系能够作为政府各相关主管部门对行业实施清洁生产的有效管理工具和评价绩效手段，满足政府主管部门对推动各行业实施清洁生产的要求，又能够减轻企业负担，提高清洁生产工作效率。</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2</w:t>
      </w:r>
      <w:r>
        <w:rPr>
          <w:rFonts w:ascii="Times New Roman" w:hAnsi="Times New Roman" w:hint="eastAsia"/>
          <w:kern w:val="0"/>
          <w:sz w:val="24"/>
          <w:szCs w:val="24"/>
        </w:rPr>
        <w:t>）化学原料药行业节能减</w:t>
      </w:r>
      <w:proofErr w:type="gramStart"/>
      <w:r>
        <w:rPr>
          <w:rFonts w:ascii="Times New Roman" w:hAnsi="Times New Roman" w:hint="eastAsia"/>
          <w:kern w:val="0"/>
          <w:sz w:val="24"/>
          <w:szCs w:val="24"/>
        </w:rPr>
        <w:t>排存在</w:t>
      </w:r>
      <w:proofErr w:type="gramEnd"/>
      <w:r>
        <w:rPr>
          <w:rFonts w:ascii="Times New Roman" w:hAnsi="Times New Roman" w:hint="eastAsia"/>
          <w:kern w:val="0"/>
          <w:sz w:val="24"/>
          <w:szCs w:val="24"/>
        </w:rPr>
        <w:t>巨大压力</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我国化学原料药行业在国民经济发展中占有举足轻重的地位，在为国民经济发展做出重大经济贡献的同时，也大量地消耗着国内外资源与能源，向化学原料药企业周边环境排放大量的污染物。为此我国化学原料药行业被国家列为重点污染行业之一，成为国家在节能减</w:t>
      </w:r>
      <w:proofErr w:type="gramStart"/>
      <w:r>
        <w:rPr>
          <w:rFonts w:ascii="Times New Roman" w:hAnsi="Times New Roman" w:hint="eastAsia"/>
          <w:kern w:val="0"/>
          <w:sz w:val="24"/>
          <w:szCs w:val="24"/>
        </w:rPr>
        <w:t>排方面</w:t>
      </w:r>
      <w:proofErr w:type="gramEnd"/>
      <w:r>
        <w:rPr>
          <w:rFonts w:ascii="Times New Roman" w:hAnsi="Times New Roman" w:hint="eastAsia"/>
          <w:kern w:val="0"/>
          <w:sz w:val="24"/>
          <w:szCs w:val="24"/>
        </w:rPr>
        <w:t>重点关注的行业。</w:t>
      </w:r>
    </w:p>
    <w:p w:rsidR="00D06F00" w:rsidRDefault="00D06F00" w:rsidP="00D06F00">
      <w:pPr>
        <w:widowControl/>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近年来，我国制药工业一直保持较快发展速度，但是，行业产品结构相对单一、同质化严重、深加工程度较低、下游产品开发滞后、产品链不完善。医药企业出口</w:t>
      </w:r>
      <w:r>
        <w:rPr>
          <w:rFonts w:ascii="Times New Roman" w:hAnsi="Times New Roman" w:hint="eastAsia"/>
          <w:kern w:val="0"/>
          <w:sz w:val="24"/>
          <w:szCs w:val="24"/>
        </w:rPr>
        <w:lastRenderedPageBreak/>
        <w:t>以初级、资源类产品为主，原料药出口比重大，占总出口量的</w:t>
      </w:r>
      <w:r>
        <w:rPr>
          <w:rFonts w:ascii="Times New Roman" w:hAnsi="Times New Roman"/>
          <w:kern w:val="0"/>
          <w:sz w:val="24"/>
          <w:szCs w:val="24"/>
        </w:rPr>
        <w:t>80%</w:t>
      </w:r>
      <w:r>
        <w:rPr>
          <w:rFonts w:ascii="Times New Roman" w:hAnsi="Times New Roman" w:hint="eastAsia"/>
          <w:kern w:val="0"/>
          <w:sz w:val="24"/>
          <w:szCs w:val="24"/>
        </w:rPr>
        <w:t>以上。目前，化学原料药是我国医药工业的主要构成部分，同时也是制药工业能源消耗、污染物产生量最大的领域。</w:t>
      </w:r>
    </w:p>
    <w:p w:rsidR="00D06F00" w:rsidRDefault="00D06F00" w:rsidP="00D06F00">
      <w:pPr>
        <w:widowControl/>
        <w:spacing w:line="460" w:lineRule="exact"/>
        <w:ind w:firstLineChars="200" w:firstLine="480"/>
        <w:rPr>
          <w:rFonts w:ascii="Times New Roman" w:hAnsi="Times New Roman"/>
          <w:kern w:val="0"/>
          <w:sz w:val="24"/>
          <w:szCs w:val="24"/>
        </w:rPr>
      </w:pPr>
      <w:r>
        <w:rPr>
          <w:rFonts w:ascii="Times New Roman" w:hAnsi="Times New Roman" w:hint="eastAsia"/>
          <w:sz w:val="24"/>
          <w:szCs w:val="24"/>
        </w:rPr>
        <w:t>作为全球药品生产大国，我国目前能生产化学原料药和药品制剂约</w:t>
      </w:r>
      <w:r>
        <w:rPr>
          <w:rFonts w:ascii="Times New Roman" w:hAnsi="Times New Roman"/>
          <w:sz w:val="24"/>
          <w:szCs w:val="24"/>
        </w:rPr>
        <w:t>80</w:t>
      </w:r>
      <w:r>
        <w:rPr>
          <w:rFonts w:ascii="Times New Roman" w:hAnsi="Times New Roman" w:hint="eastAsia"/>
          <w:sz w:val="24"/>
          <w:szCs w:val="24"/>
        </w:rPr>
        <w:t>万吨，生产过程原材料投入量大，产出比小，大部分物质最终都被废弃，污染问题较容易出现。</w:t>
      </w:r>
    </w:p>
    <w:p w:rsidR="00D06F00" w:rsidRDefault="00D06F00" w:rsidP="00D06F00">
      <w:pPr>
        <w:widowControl/>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制药工业污染治理的难度在于产品种类多、更新速度快、涉及的生产工序复杂；所用原材料繁杂，而且有相当一部分原材料为有毒有害物质；工艺环节收率不高</w:t>
      </w:r>
      <w:r>
        <w:rPr>
          <w:rFonts w:ascii="Times New Roman" w:hAnsi="Times New Roman"/>
          <w:kern w:val="0"/>
          <w:sz w:val="24"/>
          <w:szCs w:val="24"/>
        </w:rPr>
        <w:t>(</w:t>
      </w:r>
      <w:r>
        <w:rPr>
          <w:rFonts w:ascii="Times New Roman" w:hAnsi="Times New Roman" w:hint="eastAsia"/>
          <w:kern w:val="0"/>
          <w:sz w:val="24"/>
          <w:szCs w:val="24"/>
        </w:rPr>
        <w:t>一般只有</w:t>
      </w:r>
      <w:r>
        <w:rPr>
          <w:rFonts w:ascii="Times New Roman" w:hAnsi="Times New Roman"/>
          <w:kern w:val="0"/>
          <w:sz w:val="24"/>
          <w:szCs w:val="24"/>
        </w:rPr>
        <w:t>30%</w:t>
      </w:r>
      <w:r>
        <w:rPr>
          <w:rFonts w:ascii="Times New Roman" w:hAnsi="Times New Roman" w:hint="eastAsia"/>
          <w:kern w:val="0"/>
          <w:sz w:val="24"/>
          <w:szCs w:val="24"/>
        </w:rPr>
        <w:t>左右，有时甚至更低，往往是几吨、几十吨甚至是上百吨的原材料才制造出一吨成品，从而产生大量废弃物，并且废物成分复杂</w:t>
      </w:r>
      <w:r>
        <w:rPr>
          <w:rFonts w:ascii="Times New Roman" w:hAnsi="Times New Roman"/>
          <w:kern w:val="0"/>
          <w:sz w:val="24"/>
          <w:szCs w:val="24"/>
        </w:rPr>
        <w:t>)</w:t>
      </w:r>
      <w:r>
        <w:rPr>
          <w:rFonts w:ascii="Times New Roman" w:hAnsi="Times New Roman" w:hint="eastAsia"/>
          <w:kern w:val="0"/>
          <w:sz w:val="24"/>
          <w:szCs w:val="24"/>
        </w:rPr>
        <w:t>。</w:t>
      </w:r>
    </w:p>
    <w:p w:rsidR="00D06F00" w:rsidRDefault="00D06F00" w:rsidP="00D06F00">
      <w:pPr>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目前我国医药工业占全国工业增加值的</w:t>
      </w:r>
      <w:r>
        <w:rPr>
          <w:rFonts w:ascii="Times New Roman" w:hAnsi="Times New Roman"/>
          <w:kern w:val="0"/>
          <w:sz w:val="24"/>
          <w:szCs w:val="24"/>
        </w:rPr>
        <w:t>2.27%</w:t>
      </w:r>
      <w:r>
        <w:rPr>
          <w:rFonts w:ascii="Times New Roman" w:hAnsi="Times New Roman" w:hint="eastAsia"/>
          <w:kern w:val="0"/>
          <w:sz w:val="24"/>
          <w:szCs w:val="24"/>
        </w:rPr>
        <w:t>，能源消耗总量占全国能耗消耗总量的</w:t>
      </w:r>
      <w:r>
        <w:rPr>
          <w:rFonts w:ascii="Times New Roman" w:hAnsi="Times New Roman"/>
          <w:kern w:val="0"/>
          <w:sz w:val="24"/>
          <w:szCs w:val="24"/>
        </w:rPr>
        <w:t>0.5%</w:t>
      </w:r>
      <w:r>
        <w:rPr>
          <w:rFonts w:ascii="Times New Roman" w:hAnsi="Times New Roman" w:hint="eastAsia"/>
          <w:kern w:val="0"/>
          <w:sz w:val="24"/>
          <w:szCs w:val="24"/>
        </w:rPr>
        <w:t>，废水排放总量占全部工业废水排放总量的</w:t>
      </w:r>
      <w:r>
        <w:rPr>
          <w:rFonts w:ascii="Times New Roman" w:hAnsi="Times New Roman"/>
          <w:kern w:val="0"/>
          <w:sz w:val="24"/>
          <w:szCs w:val="24"/>
        </w:rPr>
        <w:t>2.5%</w:t>
      </w:r>
      <w:r>
        <w:rPr>
          <w:rFonts w:ascii="Times New Roman" w:hAnsi="Times New Roman" w:hint="eastAsia"/>
          <w:kern w:val="0"/>
          <w:sz w:val="24"/>
          <w:szCs w:val="24"/>
        </w:rPr>
        <w:t>，废气排放总量占全部工业废气排放总量的</w:t>
      </w:r>
      <w:r>
        <w:rPr>
          <w:rFonts w:ascii="Times New Roman" w:hAnsi="Times New Roman"/>
          <w:kern w:val="0"/>
          <w:sz w:val="24"/>
          <w:szCs w:val="24"/>
        </w:rPr>
        <w:t>0.3%</w:t>
      </w:r>
      <w:r>
        <w:rPr>
          <w:rFonts w:ascii="Times New Roman" w:hAnsi="Times New Roman" w:hint="eastAsia"/>
          <w:kern w:val="0"/>
          <w:sz w:val="24"/>
          <w:szCs w:val="24"/>
        </w:rPr>
        <w:t>，固体废物产生量占全部工业固体废物产生量的</w:t>
      </w:r>
      <w:r>
        <w:rPr>
          <w:rFonts w:ascii="Times New Roman" w:hAnsi="Times New Roman"/>
          <w:kern w:val="0"/>
          <w:sz w:val="24"/>
          <w:szCs w:val="24"/>
        </w:rPr>
        <w:t>0.2%</w:t>
      </w:r>
      <w:r>
        <w:rPr>
          <w:rFonts w:ascii="Times New Roman" w:hAnsi="Times New Roman" w:hint="eastAsia"/>
          <w:kern w:val="0"/>
          <w:sz w:val="24"/>
          <w:szCs w:val="24"/>
        </w:rPr>
        <w:t>。其中约</w:t>
      </w:r>
      <w:r>
        <w:rPr>
          <w:rFonts w:ascii="Times New Roman" w:hAnsi="Times New Roman"/>
          <w:kern w:val="0"/>
          <w:sz w:val="24"/>
          <w:szCs w:val="24"/>
        </w:rPr>
        <w:t>80%</w:t>
      </w:r>
      <w:r>
        <w:rPr>
          <w:rFonts w:ascii="Times New Roman" w:hAnsi="Times New Roman" w:hint="eastAsia"/>
          <w:kern w:val="0"/>
          <w:sz w:val="24"/>
          <w:szCs w:val="24"/>
        </w:rPr>
        <w:t>是化学原料药产生过程中造成的。</w:t>
      </w:r>
    </w:p>
    <w:p w:rsidR="00D06F00" w:rsidRDefault="00D06F00" w:rsidP="00D06F00">
      <w:pPr>
        <w:spacing w:line="460" w:lineRule="exact"/>
        <w:ind w:firstLineChars="200" w:firstLine="480"/>
        <w:rPr>
          <w:rFonts w:ascii="Times New Roman" w:hAnsi="Times New Roman"/>
          <w:sz w:val="24"/>
          <w:szCs w:val="24"/>
        </w:rPr>
      </w:pPr>
      <w:r>
        <w:rPr>
          <w:rFonts w:ascii="Times New Roman" w:hAnsi="Times New Roman" w:hint="eastAsia"/>
          <w:sz w:val="24"/>
          <w:szCs w:val="24"/>
        </w:rPr>
        <w:t>针对化学原料药行业高消耗、高排放的特点，为进一步落实《工业清洁生产推行</w:t>
      </w:r>
      <w:r>
        <w:rPr>
          <w:rFonts w:ascii="Times New Roman" w:hAnsi="Times New Roman"/>
          <w:sz w:val="24"/>
          <w:szCs w:val="24"/>
        </w:rPr>
        <w:t>“</w:t>
      </w:r>
      <w:r>
        <w:rPr>
          <w:rFonts w:ascii="Times New Roman" w:hAnsi="Times New Roman" w:hint="eastAsia"/>
          <w:sz w:val="24"/>
          <w:szCs w:val="24"/>
        </w:rPr>
        <w:t>十二五</w:t>
      </w:r>
      <w:r>
        <w:rPr>
          <w:rFonts w:ascii="Times New Roman" w:hAnsi="Times New Roman"/>
          <w:sz w:val="24"/>
          <w:szCs w:val="24"/>
        </w:rPr>
        <w:t>”</w:t>
      </w:r>
      <w:r>
        <w:rPr>
          <w:rFonts w:ascii="Times New Roman" w:hAnsi="Times New Roman" w:hint="eastAsia"/>
          <w:sz w:val="24"/>
          <w:szCs w:val="24"/>
        </w:rPr>
        <w:t>规划》，积极推行清洁生产，编制化学原料药清洁生产评价指标体系，对推进行业清洁生产工作是十分必要的。</w:t>
      </w:r>
    </w:p>
    <w:p w:rsidR="00D06F00" w:rsidRDefault="00D06F00" w:rsidP="00D06F00">
      <w:pPr>
        <w:spacing w:line="460" w:lineRule="exact"/>
        <w:ind w:firstLineChars="200" w:firstLine="480"/>
        <w:rPr>
          <w:rFonts w:ascii="Times New Roman" w:hAnsi="Times New Roman"/>
          <w:sz w:val="24"/>
          <w:szCs w:val="24"/>
        </w:rPr>
      </w:pPr>
      <w:r>
        <w:rPr>
          <w:rFonts w:ascii="Times New Roman" w:hAnsi="Times New Roman" w:hint="eastAsia"/>
          <w:kern w:val="0"/>
          <w:sz w:val="24"/>
          <w:szCs w:val="24"/>
        </w:rPr>
        <w:t>为推动化学原料药企业实施清洁生产，持续减少资源与能源消耗、减少污染物的产生与排放就成为紧迫的任务。如何判断化学原料药企业清洁生产水平，如何判断化学原料药企业清洁生产方面存在的潜力和机会，如何推动化学原料药企业自觉实施清洁生产，迫切需要由国家政府主管部门出台一部《化学原料药行业清洁生产评价指标体系》，提出导向目标，规范化学原料药企业行为，引领化学原料药企业实施清洁生产。</w:t>
      </w:r>
    </w:p>
    <w:p w:rsidR="00D06F00" w:rsidRDefault="00D06F00" w:rsidP="00822F4E">
      <w:pPr>
        <w:autoSpaceDE w:val="0"/>
        <w:autoSpaceDN w:val="0"/>
        <w:adjustRightInd w:val="0"/>
        <w:spacing w:line="360" w:lineRule="auto"/>
        <w:outlineLvl w:val="0"/>
        <w:rPr>
          <w:rFonts w:ascii="Times New Roman" w:hAnsi="Times New Roman"/>
          <w:kern w:val="0"/>
          <w:sz w:val="24"/>
          <w:szCs w:val="24"/>
        </w:rPr>
      </w:pPr>
      <w:bookmarkStart w:id="7" w:name="_Toc462317572"/>
      <w:bookmarkStart w:id="8" w:name="_Toc462317678"/>
      <w:r>
        <w:rPr>
          <w:rFonts w:ascii="Times New Roman" w:hAnsi="Times New Roman"/>
          <w:kern w:val="0"/>
          <w:sz w:val="24"/>
          <w:szCs w:val="24"/>
        </w:rPr>
        <w:t xml:space="preserve">2 </w:t>
      </w:r>
      <w:r>
        <w:rPr>
          <w:rFonts w:ascii="Times New Roman" w:hAnsi="Times New Roman" w:hint="eastAsia"/>
          <w:kern w:val="0"/>
          <w:sz w:val="24"/>
          <w:szCs w:val="24"/>
        </w:rPr>
        <w:t>编制过程</w:t>
      </w:r>
      <w:bookmarkEnd w:id="7"/>
      <w:bookmarkEnd w:id="8"/>
    </w:p>
    <w:p w:rsidR="00D06F00" w:rsidRPr="00822F4E" w:rsidRDefault="00D06F00" w:rsidP="00D06F00">
      <w:pPr>
        <w:pStyle w:val="3"/>
        <w:spacing w:before="0" w:after="0" w:line="460" w:lineRule="exact"/>
        <w:rPr>
          <w:rFonts w:ascii="黑体" w:eastAsia="黑体" w:hAnsi="黑体"/>
          <w:b w:val="0"/>
          <w:kern w:val="0"/>
          <w:sz w:val="24"/>
          <w:szCs w:val="24"/>
        </w:rPr>
      </w:pPr>
      <w:bookmarkStart w:id="9" w:name="_Toc462317573"/>
      <w:bookmarkStart w:id="10" w:name="_Toc462317679"/>
      <w:r w:rsidRPr="00822F4E">
        <w:rPr>
          <w:rFonts w:ascii="黑体" w:eastAsia="黑体" w:hAnsi="黑体"/>
          <w:b w:val="0"/>
          <w:kern w:val="0"/>
          <w:sz w:val="24"/>
          <w:szCs w:val="24"/>
        </w:rPr>
        <w:t xml:space="preserve">2.1 </w:t>
      </w:r>
      <w:r w:rsidRPr="00822F4E">
        <w:rPr>
          <w:rFonts w:ascii="黑体" w:eastAsia="黑体" w:hAnsi="黑体" w:hint="eastAsia"/>
          <w:b w:val="0"/>
          <w:kern w:val="0"/>
          <w:sz w:val="24"/>
          <w:szCs w:val="24"/>
        </w:rPr>
        <w:t>编制思路</w:t>
      </w:r>
      <w:bookmarkEnd w:id="9"/>
      <w:bookmarkEnd w:id="10"/>
    </w:p>
    <w:p w:rsidR="00D06F00" w:rsidRDefault="00D06F00" w:rsidP="00D06F00">
      <w:pPr>
        <w:widowControl/>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目前，我国化学原料药生产有上千</w:t>
      </w:r>
      <w:proofErr w:type="gramStart"/>
      <w:r>
        <w:rPr>
          <w:rFonts w:ascii="Times New Roman" w:hAnsi="Times New Roman" w:hint="eastAsia"/>
          <w:kern w:val="0"/>
          <w:sz w:val="24"/>
          <w:szCs w:val="24"/>
        </w:rPr>
        <w:t>个</w:t>
      </w:r>
      <w:proofErr w:type="gramEnd"/>
      <w:r>
        <w:rPr>
          <w:rFonts w:ascii="Times New Roman" w:hAnsi="Times New Roman" w:hint="eastAsia"/>
          <w:kern w:val="0"/>
          <w:sz w:val="24"/>
          <w:szCs w:val="24"/>
        </w:rPr>
        <w:t>品种，涉及原辅料万种以上；全国化学原料药规模以上生产企业已超过</w:t>
      </w:r>
      <w:r>
        <w:rPr>
          <w:rFonts w:ascii="Times New Roman" w:hAnsi="Times New Roman"/>
          <w:kern w:val="0"/>
          <w:sz w:val="24"/>
          <w:szCs w:val="24"/>
        </w:rPr>
        <w:t>1000</w:t>
      </w:r>
      <w:r>
        <w:rPr>
          <w:rFonts w:ascii="Times New Roman" w:hAnsi="Times New Roman" w:hint="eastAsia"/>
          <w:kern w:val="0"/>
          <w:sz w:val="24"/>
          <w:szCs w:val="24"/>
        </w:rPr>
        <w:t>家，还不包括生产医药中间体的众多化工企业。因此，针对不同产品的清洁生产技术千差万别。</w:t>
      </w:r>
    </w:p>
    <w:p w:rsidR="00D06F00" w:rsidRDefault="00D06F00" w:rsidP="00D06F00">
      <w:pPr>
        <w:widowControl/>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lastRenderedPageBreak/>
        <w:t>化学原料药是我国医药工业的战略支柱之一。通过几十年的发展，行业已经形成了比较完备的工业体系，且具有规模大、成本低、产量高的特点。然而，近年来，随着国际化学原料药产业的转移，我国已成为世界上最大的原料药生产国之一，</w:t>
      </w:r>
      <w:r>
        <w:rPr>
          <w:rFonts w:ascii="Times New Roman" w:hAnsi="Times New Roman"/>
          <w:kern w:val="0"/>
          <w:sz w:val="24"/>
          <w:szCs w:val="24"/>
        </w:rPr>
        <w:t>2013</w:t>
      </w:r>
      <w:r>
        <w:rPr>
          <w:rFonts w:ascii="Times New Roman" w:hAnsi="Times New Roman" w:hint="eastAsia"/>
          <w:kern w:val="0"/>
          <w:sz w:val="24"/>
          <w:szCs w:val="24"/>
        </w:rPr>
        <w:t>年全年产量在</w:t>
      </w:r>
      <w:r>
        <w:rPr>
          <w:rFonts w:ascii="Times New Roman" w:hAnsi="Times New Roman"/>
          <w:kern w:val="0"/>
          <w:sz w:val="24"/>
          <w:szCs w:val="24"/>
        </w:rPr>
        <w:t>310</w:t>
      </w:r>
      <w:r>
        <w:rPr>
          <w:rFonts w:ascii="Times New Roman" w:hAnsi="Times New Roman" w:hint="eastAsia"/>
          <w:kern w:val="0"/>
          <w:sz w:val="24"/>
          <w:szCs w:val="24"/>
        </w:rPr>
        <w:t>万吨左右。</w:t>
      </w:r>
    </w:p>
    <w:p w:rsidR="00D06F00" w:rsidRDefault="00D06F00" w:rsidP="00D06F00">
      <w:pPr>
        <w:widowControl/>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据环境保护</w:t>
      </w:r>
      <w:proofErr w:type="gramStart"/>
      <w:r>
        <w:rPr>
          <w:rFonts w:ascii="Times New Roman" w:hAnsi="Times New Roman" w:hint="eastAsia"/>
          <w:kern w:val="0"/>
          <w:sz w:val="24"/>
          <w:szCs w:val="24"/>
        </w:rPr>
        <w:t>部数据</w:t>
      </w:r>
      <w:proofErr w:type="gramEnd"/>
      <w:r>
        <w:rPr>
          <w:rFonts w:ascii="Times New Roman" w:hAnsi="Times New Roman" w:hint="eastAsia"/>
          <w:kern w:val="0"/>
          <w:sz w:val="24"/>
          <w:szCs w:val="24"/>
        </w:rPr>
        <w:t>显示，</w:t>
      </w:r>
      <w:r>
        <w:rPr>
          <w:rFonts w:ascii="Times New Roman" w:hAnsi="Times New Roman"/>
          <w:kern w:val="0"/>
          <w:sz w:val="24"/>
          <w:szCs w:val="24"/>
        </w:rPr>
        <w:t>2010</w:t>
      </w:r>
      <w:r>
        <w:rPr>
          <w:rFonts w:ascii="Times New Roman" w:hAnsi="Times New Roman" w:hint="eastAsia"/>
          <w:kern w:val="0"/>
          <w:sz w:val="24"/>
          <w:szCs w:val="24"/>
        </w:rPr>
        <w:t>年我国化学原料及化学制品制造业废水排放量占所有行业总排放量的</w:t>
      </w:r>
      <w:r>
        <w:rPr>
          <w:rFonts w:ascii="Times New Roman" w:hAnsi="Times New Roman"/>
          <w:kern w:val="0"/>
          <w:sz w:val="24"/>
          <w:szCs w:val="24"/>
        </w:rPr>
        <w:t>14.6%</w:t>
      </w:r>
      <w:r>
        <w:rPr>
          <w:rFonts w:ascii="Times New Roman" w:hAnsi="Times New Roman" w:hint="eastAsia"/>
          <w:kern w:val="0"/>
          <w:sz w:val="24"/>
          <w:szCs w:val="24"/>
        </w:rPr>
        <w:t>，仅次于造纸与纸制品业。特别是合成类原料药，因其使用的原料种类较多且多是有机溶剂，污染物处理难度较大，处理工作量相当于纺织业、造纸业等行业的</w:t>
      </w:r>
      <w:r>
        <w:rPr>
          <w:rFonts w:ascii="Times New Roman" w:hAnsi="Times New Roman"/>
          <w:kern w:val="0"/>
          <w:sz w:val="24"/>
          <w:szCs w:val="24"/>
        </w:rPr>
        <w:t>5-8</w:t>
      </w:r>
      <w:r>
        <w:rPr>
          <w:rFonts w:ascii="Times New Roman" w:hAnsi="Times New Roman" w:hint="eastAsia"/>
          <w:kern w:val="0"/>
          <w:sz w:val="24"/>
          <w:szCs w:val="24"/>
        </w:rPr>
        <w:t>倍。此外，化学原料药工业生产工序多，原材料利用率低，能源消耗较高。以青霉素生产为例，每生产青霉素工业盐</w:t>
      </w:r>
      <w:r>
        <w:rPr>
          <w:rFonts w:ascii="Times New Roman" w:hAnsi="Times New Roman"/>
          <w:kern w:val="0"/>
          <w:sz w:val="24"/>
          <w:szCs w:val="24"/>
        </w:rPr>
        <w:t>5</w:t>
      </w:r>
      <w:r>
        <w:rPr>
          <w:rFonts w:ascii="Times New Roman" w:hAnsi="Times New Roman" w:hint="eastAsia"/>
          <w:kern w:val="0"/>
          <w:sz w:val="24"/>
          <w:szCs w:val="24"/>
        </w:rPr>
        <w:t>吨，需要耗水大约</w:t>
      </w:r>
      <w:r>
        <w:rPr>
          <w:rFonts w:ascii="Times New Roman" w:hAnsi="Times New Roman"/>
          <w:kern w:val="0"/>
          <w:sz w:val="24"/>
          <w:szCs w:val="24"/>
        </w:rPr>
        <w:t>200</w:t>
      </w:r>
      <w:r>
        <w:rPr>
          <w:rFonts w:ascii="Times New Roman" w:hAnsi="Times New Roman" w:hint="eastAsia"/>
          <w:kern w:val="0"/>
          <w:sz w:val="24"/>
          <w:szCs w:val="24"/>
        </w:rPr>
        <w:t>吨。</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《工业清洁生产推行</w:t>
      </w:r>
      <w:r>
        <w:rPr>
          <w:rFonts w:ascii="Times New Roman" w:hAnsi="Times New Roman"/>
          <w:kern w:val="0"/>
          <w:sz w:val="24"/>
          <w:szCs w:val="24"/>
        </w:rPr>
        <w:t>“</w:t>
      </w:r>
      <w:r>
        <w:rPr>
          <w:rFonts w:ascii="Times New Roman" w:hAnsi="Times New Roman" w:hint="eastAsia"/>
          <w:kern w:val="0"/>
          <w:sz w:val="24"/>
          <w:szCs w:val="24"/>
        </w:rPr>
        <w:t>十二五</w:t>
      </w:r>
      <w:r>
        <w:rPr>
          <w:rFonts w:ascii="Times New Roman" w:hAnsi="Times New Roman"/>
          <w:kern w:val="0"/>
          <w:sz w:val="24"/>
          <w:szCs w:val="24"/>
        </w:rPr>
        <w:t>”</w:t>
      </w:r>
      <w:r>
        <w:rPr>
          <w:rFonts w:ascii="Times New Roman" w:hAnsi="Times New Roman" w:hint="eastAsia"/>
          <w:kern w:val="0"/>
          <w:sz w:val="24"/>
          <w:szCs w:val="24"/>
        </w:rPr>
        <w:t>规划》主要从节能减排的角度将化学原料药确定为重点行业之一，并纳入规划了的重点工程。因此，结合行业现实情况，方案编制的思路确定为聚焦原料药生产全过程的关键工艺环节，制定切实可行的清洁生产评价指标，以期突出重点，达到实效。</w:t>
      </w:r>
    </w:p>
    <w:p w:rsidR="00D06F00" w:rsidRPr="00822F4E" w:rsidRDefault="00D06F00" w:rsidP="00D06F00">
      <w:pPr>
        <w:pStyle w:val="3"/>
        <w:spacing w:before="0" w:after="0" w:line="460" w:lineRule="exact"/>
        <w:rPr>
          <w:rFonts w:ascii="黑体" w:eastAsia="黑体" w:hAnsi="黑体"/>
          <w:b w:val="0"/>
          <w:kern w:val="0"/>
          <w:sz w:val="24"/>
          <w:szCs w:val="24"/>
        </w:rPr>
      </w:pPr>
      <w:bookmarkStart w:id="11" w:name="_Toc462317574"/>
      <w:bookmarkStart w:id="12" w:name="_Toc462317680"/>
      <w:r w:rsidRPr="00822F4E">
        <w:rPr>
          <w:rFonts w:ascii="黑体" w:eastAsia="黑体" w:hAnsi="黑体"/>
          <w:b w:val="0"/>
          <w:kern w:val="0"/>
          <w:sz w:val="24"/>
          <w:szCs w:val="24"/>
        </w:rPr>
        <w:t xml:space="preserve">2.2 </w:t>
      </w:r>
      <w:r w:rsidRPr="00822F4E">
        <w:rPr>
          <w:rFonts w:ascii="黑体" w:eastAsia="黑体" w:hAnsi="黑体" w:hint="eastAsia"/>
          <w:b w:val="0"/>
          <w:kern w:val="0"/>
          <w:sz w:val="24"/>
          <w:szCs w:val="24"/>
        </w:rPr>
        <w:t>编制过程</w:t>
      </w:r>
      <w:bookmarkEnd w:id="11"/>
      <w:bookmarkEnd w:id="12"/>
    </w:p>
    <w:p w:rsidR="00D06F00" w:rsidRDefault="00D06F00" w:rsidP="00D06F00">
      <w:pPr>
        <w:widowControl/>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1</w:t>
      </w:r>
      <w:r>
        <w:rPr>
          <w:rFonts w:ascii="Times New Roman" w:hAnsi="Times New Roman" w:hint="eastAsia"/>
          <w:kern w:val="0"/>
          <w:sz w:val="24"/>
          <w:szCs w:val="24"/>
        </w:rPr>
        <w:t>）调查研究。对抗生素</w:t>
      </w:r>
      <w:r>
        <w:rPr>
          <w:rFonts w:ascii="Times New Roman" w:hAnsi="Times New Roman"/>
          <w:kern w:val="0"/>
          <w:sz w:val="24"/>
          <w:szCs w:val="24"/>
        </w:rPr>
        <w:t>/</w:t>
      </w:r>
      <w:r>
        <w:rPr>
          <w:rFonts w:ascii="Times New Roman" w:hAnsi="Times New Roman" w:hint="eastAsia"/>
          <w:kern w:val="0"/>
          <w:sz w:val="24"/>
          <w:szCs w:val="24"/>
        </w:rPr>
        <w:t>维生素制药行业清洁生产现状及有关技术进行文献调研、函调，并进行企业实地调研，掌握抗生素</w:t>
      </w:r>
      <w:r>
        <w:rPr>
          <w:rFonts w:ascii="Times New Roman" w:hAnsi="Times New Roman"/>
          <w:kern w:val="0"/>
          <w:sz w:val="24"/>
          <w:szCs w:val="24"/>
        </w:rPr>
        <w:t>/</w:t>
      </w:r>
      <w:r>
        <w:rPr>
          <w:rFonts w:ascii="Times New Roman" w:hAnsi="Times New Roman" w:hint="eastAsia"/>
          <w:kern w:val="0"/>
          <w:sz w:val="24"/>
          <w:szCs w:val="24"/>
        </w:rPr>
        <w:t>维生素制药行业清洁生产的总体情况和技术的具体指标。</w:t>
      </w:r>
    </w:p>
    <w:p w:rsidR="00D06F00" w:rsidRDefault="00D06F00" w:rsidP="00D06F00">
      <w:pPr>
        <w:widowControl/>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2</w:t>
      </w:r>
      <w:r>
        <w:rPr>
          <w:rFonts w:ascii="Times New Roman" w:hAnsi="Times New Roman" w:hint="eastAsia"/>
          <w:kern w:val="0"/>
          <w:sz w:val="24"/>
          <w:szCs w:val="24"/>
        </w:rPr>
        <w:t>）专家咨询。在调查研究基础上开展行业专家咨询工作，主要包括通讯咨询和召开现场专家咨询会的形式，对调查研究的技术相关数据进行补充和完善。</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3</w:t>
      </w:r>
      <w:r>
        <w:rPr>
          <w:rFonts w:ascii="Times New Roman" w:hAnsi="Times New Roman" w:hint="eastAsia"/>
          <w:kern w:val="0"/>
          <w:sz w:val="24"/>
          <w:szCs w:val="24"/>
        </w:rPr>
        <w:t>）方案起草。在上述工作基础上起草《化学原料药行业清洁生产评价指标体系》，经过组织专家论证修改完善，报</w:t>
      </w:r>
      <w:proofErr w:type="gramStart"/>
      <w:r>
        <w:rPr>
          <w:rFonts w:ascii="Times New Roman" w:hAnsi="Times New Roman" w:hint="eastAsia"/>
          <w:kern w:val="0"/>
          <w:sz w:val="24"/>
          <w:szCs w:val="24"/>
        </w:rPr>
        <w:t>经工业</w:t>
      </w:r>
      <w:proofErr w:type="gramEnd"/>
      <w:r>
        <w:rPr>
          <w:rFonts w:ascii="Times New Roman" w:hAnsi="Times New Roman" w:hint="eastAsia"/>
          <w:kern w:val="0"/>
          <w:sz w:val="24"/>
          <w:szCs w:val="24"/>
        </w:rPr>
        <w:t>和信息化部在全国范围内征求意见，进一步修改后发布。</w:t>
      </w:r>
    </w:p>
    <w:p w:rsidR="00D06F00" w:rsidRDefault="00D06F00" w:rsidP="00822F4E">
      <w:pPr>
        <w:autoSpaceDE w:val="0"/>
        <w:autoSpaceDN w:val="0"/>
        <w:adjustRightInd w:val="0"/>
        <w:spacing w:line="360" w:lineRule="auto"/>
        <w:outlineLvl w:val="0"/>
        <w:rPr>
          <w:rFonts w:ascii="Times New Roman" w:hAnsi="Times New Roman"/>
          <w:kern w:val="0"/>
          <w:sz w:val="24"/>
          <w:szCs w:val="24"/>
        </w:rPr>
      </w:pPr>
      <w:bookmarkStart w:id="13" w:name="_Toc462317575"/>
      <w:bookmarkStart w:id="14" w:name="_Toc462317681"/>
      <w:r>
        <w:rPr>
          <w:rFonts w:ascii="Times New Roman" w:hAnsi="Times New Roman"/>
          <w:kern w:val="0"/>
          <w:sz w:val="24"/>
          <w:szCs w:val="24"/>
        </w:rPr>
        <w:t xml:space="preserve">3 </w:t>
      </w:r>
      <w:r>
        <w:rPr>
          <w:rFonts w:ascii="Times New Roman" w:hAnsi="Times New Roman" w:hint="eastAsia"/>
          <w:kern w:val="0"/>
          <w:sz w:val="24"/>
          <w:szCs w:val="24"/>
        </w:rPr>
        <w:t>适用范围</w:t>
      </w:r>
      <w:bookmarkEnd w:id="13"/>
      <w:bookmarkEnd w:id="14"/>
    </w:p>
    <w:p w:rsidR="00D06F00" w:rsidRDefault="00D06F00" w:rsidP="00D06F00">
      <w:pPr>
        <w:autoSpaceDE w:val="0"/>
        <w:autoSpaceDN w:val="0"/>
        <w:adjustRightInd w:val="0"/>
        <w:spacing w:line="460" w:lineRule="exact"/>
        <w:ind w:firstLineChars="200" w:firstLine="480"/>
        <w:rPr>
          <w:rFonts w:ascii="Times New Roman" w:hAnsi="Times New Roman"/>
          <w:color w:val="FF0000"/>
          <w:kern w:val="0"/>
          <w:sz w:val="24"/>
          <w:szCs w:val="24"/>
        </w:rPr>
      </w:pPr>
      <w:r>
        <w:rPr>
          <w:rFonts w:ascii="Times New Roman" w:hAnsi="Times New Roman" w:hint="eastAsia"/>
          <w:kern w:val="0"/>
          <w:sz w:val="24"/>
          <w:szCs w:val="24"/>
        </w:rPr>
        <w:t>本指标体系规定了化学原料药行业清洁生产的一般要求。本指标体系将清洁生产指标分为八类，即原辅材料、生产工艺及设备、环境体系建设及清洁生产审核、贯彻执行环境法规、资源和能源消耗、生产技术与产品特征、资源综合利用、污染物排放控制。</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本指标体系适用于化学原料药生产企业清洁生产水平评价、新</w:t>
      </w:r>
      <w:r>
        <w:rPr>
          <w:rFonts w:ascii="Times New Roman" w:hAnsi="Times New Roman"/>
          <w:kern w:val="0"/>
          <w:sz w:val="24"/>
          <w:szCs w:val="24"/>
        </w:rPr>
        <w:t>/</w:t>
      </w:r>
      <w:r>
        <w:rPr>
          <w:rFonts w:ascii="Times New Roman" w:hAnsi="Times New Roman" w:hint="eastAsia"/>
          <w:kern w:val="0"/>
          <w:sz w:val="24"/>
          <w:szCs w:val="24"/>
        </w:rPr>
        <w:t>扩</w:t>
      </w:r>
      <w:r>
        <w:rPr>
          <w:rFonts w:ascii="Times New Roman" w:hAnsi="Times New Roman"/>
          <w:kern w:val="0"/>
          <w:sz w:val="24"/>
          <w:szCs w:val="24"/>
        </w:rPr>
        <w:t>/</w:t>
      </w:r>
      <w:r>
        <w:rPr>
          <w:rFonts w:ascii="Times New Roman" w:hAnsi="Times New Roman" w:hint="eastAsia"/>
          <w:kern w:val="0"/>
          <w:sz w:val="24"/>
          <w:szCs w:val="24"/>
        </w:rPr>
        <w:t>改建项目环境</w:t>
      </w:r>
      <w:r>
        <w:rPr>
          <w:rFonts w:ascii="Times New Roman" w:hAnsi="Times New Roman" w:hint="eastAsia"/>
          <w:kern w:val="0"/>
          <w:sz w:val="24"/>
          <w:szCs w:val="24"/>
        </w:rPr>
        <w:lastRenderedPageBreak/>
        <w:t>影响评价、自愿与强制清洁生产审核、市场准入、排污许可证核发等。</w:t>
      </w:r>
    </w:p>
    <w:p w:rsidR="00D06F00" w:rsidRDefault="00D06F00" w:rsidP="00822F4E">
      <w:pPr>
        <w:autoSpaceDE w:val="0"/>
        <w:autoSpaceDN w:val="0"/>
        <w:adjustRightInd w:val="0"/>
        <w:spacing w:line="360" w:lineRule="auto"/>
        <w:outlineLvl w:val="0"/>
        <w:rPr>
          <w:rFonts w:ascii="Times New Roman" w:hAnsi="Times New Roman"/>
          <w:kern w:val="0"/>
          <w:sz w:val="24"/>
          <w:szCs w:val="24"/>
        </w:rPr>
      </w:pPr>
      <w:bookmarkStart w:id="15" w:name="_Toc462317576"/>
      <w:bookmarkStart w:id="16" w:name="_Toc462317682"/>
      <w:r>
        <w:rPr>
          <w:rFonts w:ascii="Times New Roman" w:hAnsi="Times New Roman"/>
          <w:kern w:val="0"/>
          <w:sz w:val="24"/>
          <w:szCs w:val="24"/>
        </w:rPr>
        <w:t xml:space="preserve">4 </w:t>
      </w:r>
      <w:r>
        <w:rPr>
          <w:rFonts w:ascii="Times New Roman" w:hAnsi="Times New Roman" w:hint="eastAsia"/>
          <w:kern w:val="0"/>
          <w:sz w:val="24"/>
          <w:szCs w:val="24"/>
        </w:rPr>
        <w:t>指标体系编制指导思想</w:t>
      </w:r>
      <w:bookmarkEnd w:id="15"/>
      <w:bookmarkEnd w:id="16"/>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本指标体系遵循</w:t>
      </w:r>
      <w:r>
        <w:rPr>
          <w:rFonts w:ascii="Times New Roman" w:hAnsi="Times New Roman"/>
          <w:kern w:val="0"/>
          <w:sz w:val="24"/>
          <w:szCs w:val="24"/>
        </w:rPr>
        <w:t>“</w:t>
      </w:r>
      <w:r>
        <w:rPr>
          <w:rFonts w:ascii="Times New Roman" w:hAnsi="Times New Roman" w:hint="eastAsia"/>
          <w:kern w:val="0"/>
          <w:sz w:val="24"/>
          <w:szCs w:val="24"/>
        </w:rPr>
        <w:t>科学、合理、易操作</w:t>
      </w:r>
      <w:r>
        <w:rPr>
          <w:rFonts w:ascii="Times New Roman" w:hAnsi="Times New Roman"/>
          <w:kern w:val="0"/>
          <w:sz w:val="24"/>
          <w:szCs w:val="24"/>
        </w:rPr>
        <w:t>”</w:t>
      </w:r>
      <w:r>
        <w:rPr>
          <w:rFonts w:ascii="Times New Roman" w:hAnsi="Times New Roman" w:hint="eastAsia"/>
          <w:kern w:val="0"/>
          <w:sz w:val="24"/>
          <w:szCs w:val="24"/>
        </w:rPr>
        <w:t>的原则进行编制。指标体系的编制体现了产品生命周期分析、生产全过程预防控制和源头削减的思想。本指标体系框架及定量、定性指标内容的确定，充分依据现行的化学原料药产业发展政策、产业结构调整指导目录、并充分考虑了国内外已有的清洁生产技术成果和成功的清洁生产管理经验、化学原料药行业未来的发展趋势等信息内容。指标体系中指标的选取考虑了化学原料药生产特点和指标的典型性、代表性、统计指标数据易获得性等因素，使编制的指标体系具有可操作性。</w:t>
      </w:r>
    </w:p>
    <w:p w:rsidR="00D06F00" w:rsidRDefault="00D06F00" w:rsidP="00822F4E">
      <w:pPr>
        <w:autoSpaceDE w:val="0"/>
        <w:autoSpaceDN w:val="0"/>
        <w:adjustRightInd w:val="0"/>
        <w:spacing w:line="360" w:lineRule="auto"/>
        <w:outlineLvl w:val="0"/>
        <w:rPr>
          <w:rFonts w:ascii="Times New Roman" w:hAnsi="Times New Roman"/>
          <w:kern w:val="0"/>
          <w:sz w:val="24"/>
          <w:szCs w:val="24"/>
        </w:rPr>
      </w:pPr>
      <w:bookmarkStart w:id="17" w:name="_Toc462317577"/>
      <w:bookmarkStart w:id="18" w:name="_Toc462317683"/>
      <w:r>
        <w:rPr>
          <w:rFonts w:ascii="Times New Roman" w:hAnsi="Times New Roman"/>
          <w:kern w:val="0"/>
          <w:sz w:val="24"/>
          <w:szCs w:val="24"/>
        </w:rPr>
        <w:t xml:space="preserve">5 </w:t>
      </w:r>
      <w:r>
        <w:rPr>
          <w:rFonts w:ascii="Times New Roman" w:hAnsi="Times New Roman" w:hint="eastAsia"/>
          <w:kern w:val="0"/>
          <w:sz w:val="24"/>
          <w:szCs w:val="24"/>
        </w:rPr>
        <w:t>指标体系编制原则、依据和参考资料</w:t>
      </w:r>
      <w:bookmarkEnd w:id="17"/>
      <w:bookmarkEnd w:id="18"/>
    </w:p>
    <w:p w:rsidR="00D06F00" w:rsidRPr="00822F4E" w:rsidRDefault="00D06F00" w:rsidP="00D06F00">
      <w:pPr>
        <w:pStyle w:val="3"/>
        <w:spacing w:before="0" w:after="0" w:line="460" w:lineRule="exact"/>
        <w:rPr>
          <w:rFonts w:ascii="黑体" w:eastAsia="黑体" w:hAnsi="黑体"/>
          <w:b w:val="0"/>
          <w:kern w:val="0"/>
          <w:sz w:val="24"/>
          <w:szCs w:val="24"/>
        </w:rPr>
      </w:pPr>
      <w:bookmarkStart w:id="19" w:name="_Toc462317578"/>
      <w:bookmarkStart w:id="20" w:name="_Toc462317684"/>
      <w:r w:rsidRPr="00822F4E">
        <w:rPr>
          <w:rFonts w:ascii="黑体" w:eastAsia="黑体" w:hAnsi="黑体"/>
          <w:b w:val="0"/>
          <w:kern w:val="0"/>
          <w:sz w:val="24"/>
          <w:szCs w:val="24"/>
        </w:rPr>
        <w:t xml:space="preserve">5.1 </w:t>
      </w:r>
      <w:r w:rsidRPr="00822F4E">
        <w:rPr>
          <w:rFonts w:ascii="黑体" w:eastAsia="黑体" w:hAnsi="黑体" w:hint="eastAsia"/>
          <w:b w:val="0"/>
          <w:kern w:val="0"/>
          <w:sz w:val="24"/>
          <w:szCs w:val="24"/>
        </w:rPr>
        <w:t>编制原则</w:t>
      </w:r>
      <w:bookmarkEnd w:id="19"/>
      <w:bookmarkEnd w:id="20"/>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1</w:t>
      </w:r>
      <w:r>
        <w:rPr>
          <w:rFonts w:ascii="Times New Roman" w:hAnsi="Times New Roman" w:hint="eastAsia"/>
          <w:kern w:val="0"/>
          <w:sz w:val="24"/>
          <w:szCs w:val="24"/>
        </w:rPr>
        <w:t>）依据清洁生产相关法律、法规、标准进行编制；</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2</w:t>
      </w:r>
      <w:r>
        <w:rPr>
          <w:rFonts w:ascii="Times New Roman" w:hAnsi="Times New Roman" w:hint="eastAsia"/>
          <w:kern w:val="0"/>
          <w:sz w:val="24"/>
          <w:szCs w:val="24"/>
        </w:rPr>
        <w:t>）满足政府主管部门评判化学原料药企业清洁生产水平，引导和推动化学原料药企业实施清洁生产，鼓励先进企业，淘汰落后企业的要求；</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3</w:t>
      </w:r>
      <w:r>
        <w:rPr>
          <w:rFonts w:ascii="Times New Roman" w:hAnsi="Times New Roman" w:hint="eastAsia"/>
          <w:kern w:val="0"/>
          <w:sz w:val="24"/>
          <w:szCs w:val="24"/>
        </w:rPr>
        <w:t>）满足政府环保主管部门对化学原料药企业新扩改建</w:t>
      </w:r>
      <w:proofErr w:type="gramStart"/>
      <w:r>
        <w:rPr>
          <w:rFonts w:ascii="Times New Roman" w:hAnsi="Times New Roman" w:hint="eastAsia"/>
          <w:kern w:val="0"/>
          <w:sz w:val="24"/>
          <w:szCs w:val="24"/>
        </w:rPr>
        <w:t>项目环</w:t>
      </w:r>
      <w:proofErr w:type="gramEnd"/>
      <w:r>
        <w:rPr>
          <w:rFonts w:ascii="Times New Roman" w:hAnsi="Times New Roman" w:hint="eastAsia"/>
          <w:kern w:val="0"/>
          <w:sz w:val="24"/>
          <w:szCs w:val="24"/>
        </w:rPr>
        <w:t>评审批的要求；</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4</w:t>
      </w:r>
      <w:r>
        <w:rPr>
          <w:rFonts w:ascii="Times New Roman" w:hAnsi="Times New Roman" w:hint="eastAsia"/>
          <w:kern w:val="0"/>
          <w:sz w:val="24"/>
          <w:szCs w:val="24"/>
        </w:rPr>
        <w:t>）满足政府环保主管部门对化学原料药企业实施排污许可证管理的要求；</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5</w:t>
      </w:r>
      <w:r>
        <w:rPr>
          <w:rFonts w:ascii="Times New Roman" w:hAnsi="Times New Roman" w:hint="eastAsia"/>
          <w:kern w:val="0"/>
          <w:sz w:val="24"/>
          <w:szCs w:val="24"/>
        </w:rPr>
        <w:t>）满足政府主管部门对化学原料药企业开展自愿与强制清洁生产审核的管理要求；</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6</w:t>
      </w:r>
      <w:r>
        <w:rPr>
          <w:rFonts w:ascii="Times New Roman" w:hAnsi="Times New Roman" w:hint="eastAsia"/>
          <w:kern w:val="0"/>
          <w:sz w:val="24"/>
          <w:szCs w:val="24"/>
        </w:rPr>
        <w:t>）满足政府主管部门对化学原料药企业实施市场准入、环境准入管理要求；</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7</w:t>
      </w:r>
      <w:r>
        <w:rPr>
          <w:rFonts w:ascii="Times New Roman" w:hAnsi="Times New Roman" w:hint="eastAsia"/>
          <w:kern w:val="0"/>
          <w:sz w:val="24"/>
          <w:szCs w:val="24"/>
        </w:rPr>
        <w:t>）反映化学原料药行业特点；</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8</w:t>
      </w:r>
      <w:r>
        <w:rPr>
          <w:rFonts w:ascii="Times New Roman" w:hAnsi="Times New Roman" w:hint="eastAsia"/>
          <w:kern w:val="0"/>
          <w:sz w:val="24"/>
          <w:szCs w:val="24"/>
        </w:rPr>
        <w:t>）促进化学原料药行业清洁生产和技术进步；</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9</w:t>
      </w:r>
      <w:r>
        <w:rPr>
          <w:rFonts w:ascii="Times New Roman" w:hAnsi="Times New Roman" w:hint="eastAsia"/>
          <w:kern w:val="0"/>
          <w:sz w:val="24"/>
          <w:szCs w:val="24"/>
        </w:rPr>
        <w:t>）促进现有化学原料药企业完善清洁生产长效机制，持续提升化学原料药企业清洁生产水平的要求。</w:t>
      </w:r>
    </w:p>
    <w:p w:rsidR="00D06F00" w:rsidRPr="00822F4E" w:rsidRDefault="00D06F00" w:rsidP="00D06F00">
      <w:pPr>
        <w:pStyle w:val="3"/>
        <w:spacing w:before="0" w:after="0" w:line="460" w:lineRule="exact"/>
        <w:rPr>
          <w:rFonts w:ascii="黑体" w:eastAsia="黑体" w:hAnsi="黑体"/>
          <w:b w:val="0"/>
          <w:kern w:val="0"/>
          <w:sz w:val="24"/>
          <w:szCs w:val="24"/>
        </w:rPr>
      </w:pPr>
      <w:bookmarkStart w:id="21" w:name="_Toc462317579"/>
      <w:bookmarkStart w:id="22" w:name="_Toc462317685"/>
      <w:r w:rsidRPr="00822F4E">
        <w:rPr>
          <w:rFonts w:ascii="黑体" w:eastAsia="黑体" w:hAnsi="黑体"/>
          <w:b w:val="0"/>
          <w:kern w:val="0"/>
          <w:sz w:val="24"/>
          <w:szCs w:val="24"/>
        </w:rPr>
        <w:t xml:space="preserve">5.2 </w:t>
      </w:r>
      <w:r w:rsidRPr="00822F4E">
        <w:rPr>
          <w:rFonts w:ascii="黑体" w:eastAsia="黑体" w:hAnsi="黑体" w:hint="eastAsia"/>
          <w:b w:val="0"/>
          <w:kern w:val="0"/>
          <w:sz w:val="24"/>
          <w:szCs w:val="24"/>
        </w:rPr>
        <w:t>编制依据</w:t>
      </w:r>
      <w:bookmarkEnd w:id="21"/>
      <w:bookmarkEnd w:id="22"/>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本指标体系编制主要依据以下文件：</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1</w:t>
      </w:r>
      <w:r>
        <w:rPr>
          <w:rFonts w:ascii="Times New Roman" w:hAnsi="Times New Roman" w:hint="eastAsia"/>
          <w:kern w:val="0"/>
          <w:sz w:val="24"/>
          <w:szCs w:val="24"/>
        </w:rPr>
        <w:t>）《清洁生产评价指标体系编制通则（试行稿》（国家发展和改革委员会，</w:t>
      </w:r>
      <w:r>
        <w:rPr>
          <w:rFonts w:ascii="Times New Roman" w:hAnsi="Times New Roman"/>
          <w:kern w:val="0"/>
          <w:sz w:val="24"/>
          <w:szCs w:val="24"/>
        </w:rPr>
        <w:t>2013</w:t>
      </w:r>
      <w:r>
        <w:rPr>
          <w:rFonts w:ascii="Times New Roman" w:hAnsi="Times New Roman" w:hint="eastAsia"/>
          <w:kern w:val="0"/>
          <w:sz w:val="24"/>
          <w:szCs w:val="24"/>
        </w:rPr>
        <w:t>年</w:t>
      </w:r>
      <w:r>
        <w:rPr>
          <w:rFonts w:ascii="Times New Roman" w:hAnsi="Times New Roman"/>
          <w:kern w:val="0"/>
          <w:sz w:val="24"/>
          <w:szCs w:val="24"/>
        </w:rPr>
        <w:t>6</w:t>
      </w:r>
      <w:r>
        <w:rPr>
          <w:rFonts w:ascii="Times New Roman" w:hAnsi="Times New Roman" w:hint="eastAsia"/>
          <w:kern w:val="0"/>
          <w:sz w:val="24"/>
          <w:szCs w:val="24"/>
        </w:rPr>
        <w:t>月）</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2</w:t>
      </w:r>
      <w:r>
        <w:rPr>
          <w:rFonts w:ascii="Times New Roman" w:hAnsi="Times New Roman" w:hint="eastAsia"/>
          <w:kern w:val="0"/>
          <w:sz w:val="24"/>
          <w:szCs w:val="24"/>
        </w:rPr>
        <w:t>）《产业结构调整指导目录》</w:t>
      </w:r>
      <w:r>
        <w:rPr>
          <w:rFonts w:ascii="Times New Roman" w:hAnsi="Times New Roman"/>
          <w:kern w:val="0"/>
          <w:sz w:val="24"/>
          <w:szCs w:val="24"/>
        </w:rPr>
        <w:t>(2011</w:t>
      </w:r>
      <w:r>
        <w:rPr>
          <w:rFonts w:ascii="Times New Roman" w:hAnsi="Times New Roman" w:hint="eastAsia"/>
          <w:kern w:val="0"/>
          <w:sz w:val="24"/>
          <w:szCs w:val="24"/>
        </w:rPr>
        <w:t>年版</w:t>
      </w:r>
      <w:r>
        <w:rPr>
          <w:rFonts w:ascii="Times New Roman" w:hAnsi="Times New Roman"/>
          <w:kern w:val="0"/>
          <w:sz w:val="24"/>
          <w:szCs w:val="24"/>
        </w:rPr>
        <w:t>)</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3</w:t>
      </w:r>
      <w:r>
        <w:rPr>
          <w:rFonts w:ascii="Times New Roman" w:hAnsi="Times New Roman" w:hint="eastAsia"/>
          <w:kern w:val="0"/>
          <w:sz w:val="24"/>
          <w:szCs w:val="24"/>
        </w:rPr>
        <w:t>）《工业和信息化部关于进一步加强工业节水工作的意见》（中华人民共和</w:t>
      </w:r>
      <w:r>
        <w:rPr>
          <w:rFonts w:ascii="Times New Roman" w:hAnsi="Times New Roman" w:hint="eastAsia"/>
          <w:kern w:val="0"/>
          <w:sz w:val="24"/>
          <w:szCs w:val="24"/>
        </w:rPr>
        <w:lastRenderedPageBreak/>
        <w:t>国工业和信息化部，工业和信息化部节［</w:t>
      </w:r>
      <w:r>
        <w:rPr>
          <w:rFonts w:ascii="Times New Roman" w:hAnsi="Times New Roman"/>
          <w:kern w:val="0"/>
          <w:sz w:val="24"/>
          <w:szCs w:val="24"/>
        </w:rPr>
        <w:t>2010</w:t>
      </w:r>
      <w:r>
        <w:rPr>
          <w:rFonts w:ascii="Times New Roman" w:hAnsi="Times New Roman" w:hint="eastAsia"/>
          <w:kern w:val="0"/>
          <w:sz w:val="24"/>
          <w:szCs w:val="24"/>
        </w:rPr>
        <w:t>］</w:t>
      </w:r>
      <w:r>
        <w:rPr>
          <w:rFonts w:ascii="Times New Roman" w:hAnsi="Times New Roman"/>
          <w:kern w:val="0"/>
          <w:sz w:val="24"/>
          <w:szCs w:val="24"/>
        </w:rPr>
        <w:t>218</w:t>
      </w:r>
      <w:r>
        <w:rPr>
          <w:rFonts w:ascii="Times New Roman" w:hAnsi="Times New Roman" w:hint="eastAsia"/>
          <w:kern w:val="0"/>
          <w:sz w:val="24"/>
          <w:szCs w:val="24"/>
        </w:rPr>
        <w:t>号）</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4</w:t>
      </w:r>
      <w:r>
        <w:rPr>
          <w:rFonts w:ascii="Times New Roman" w:hAnsi="Times New Roman" w:hint="eastAsia"/>
          <w:kern w:val="0"/>
          <w:sz w:val="24"/>
          <w:szCs w:val="24"/>
        </w:rPr>
        <w:t>）《中华人民共和国循环经济促进法》（中华人民共和国主席令第</w:t>
      </w:r>
      <w:r>
        <w:rPr>
          <w:rFonts w:ascii="Times New Roman" w:hAnsi="Times New Roman"/>
          <w:kern w:val="0"/>
          <w:sz w:val="24"/>
          <w:szCs w:val="24"/>
        </w:rPr>
        <w:t>4</w:t>
      </w:r>
      <w:r>
        <w:rPr>
          <w:rFonts w:ascii="Times New Roman" w:hAnsi="Times New Roman" w:hint="eastAsia"/>
          <w:kern w:val="0"/>
          <w:sz w:val="24"/>
          <w:szCs w:val="24"/>
        </w:rPr>
        <w:t>号，</w:t>
      </w:r>
      <w:r>
        <w:rPr>
          <w:rFonts w:ascii="Times New Roman" w:hAnsi="Times New Roman"/>
          <w:kern w:val="0"/>
          <w:sz w:val="24"/>
          <w:szCs w:val="24"/>
        </w:rPr>
        <w:t>2008</w:t>
      </w:r>
      <w:r>
        <w:rPr>
          <w:rFonts w:ascii="Times New Roman" w:hAnsi="Times New Roman" w:hint="eastAsia"/>
          <w:kern w:val="0"/>
          <w:sz w:val="24"/>
          <w:szCs w:val="24"/>
        </w:rPr>
        <w:t>）</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5</w:t>
      </w:r>
      <w:r>
        <w:rPr>
          <w:rFonts w:ascii="Times New Roman" w:hAnsi="Times New Roman" w:hint="eastAsia"/>
          <w:kern w:val="0"/>
          <w:sz w:val="24"/>
          <w:szCs w:val="24"/>
        </w:rPr>
        <w:t>）《医药工业</w:t>
      </w:r>
      <w:r>
        <w:rPr>
          <w:rFonts w:ascii="Times New Roman" w:hAnsi="Times New Roman"/>
          <w:kern w:val="0"/>
          <w:sz w:val="24"/>
          <w:szCs w:val="24"/>
        </w:rPr>
        <w:t>“</w:t>
      </w:r>
      <w:r>
        <w:rPr>
          <w:rFonts w:ascii="Times New Roman" w:hAnsi="Times New Roman" w:hint="eastAsia"/>
          <w:kern w:val="0"/>
          <w:sz w:val="24"/>
          <w:szCs w:val="24"/>
        </w:rPr>
        <w:t>十二五</w:t>
      </w:r>
      <w:r>
        <w:rPr>
          <w:rFonts w:ascii="Times New Roman" w:hAnsi="Times New Roman"/>
          <w:kern w:val="0"/>
          <w:sz w:val="24"/>
          <w:szCs w:val="24"/>
        </w:rPr>
        <w:t>”</w:t>
      </w:r>
      <w:r>
        <w:rPr>
          <w:rFonts w:ascii="Times New Roman" w:hAnsi="Times New Roman" w:hint="eastAsia"/>
          <w:kern w:val="0"/>
          <w:sz w:val="24"/>
          <w:szCs w:val="24"/>
        </w:rPr>
        <w:t>发展规划》（中华人民共和国工业和信息化部，</w:t>
      </w:r>
      <w:r>
        <w:rPr>
          <w:rFonts w:ascii="Times New Roman" w:hAnsi="Times New Roman"/>
          <w:kern w:val="0"/>
          <w:sz w:val="24"/>
          <w:szCs w:val="24"/>
        </w:rPr>
        <w:t>2012</w:t>
      </w:r>
      <w:r>
        <w:rPr>
          <w:rFonts w:ascii="Times New Roman" w:hAnsi="Times New Roman" w:hint="eastAsia"/>
          <w:kern w:val="0"/>
          <w:sz w:val="24"/>
          <w:szCs w:val="24"/>
        </w:rPr>
        <w:t>）</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6</w:t>
      </w:r>
      <w:r>
        <w:rPr>
          <w:rFonts w:ascii="Times New Roman" w:hAnsi="Times New Roman" w:hint="eastAsia"/>
          <w:kern w:val="0"/>
          <w:sz w:val="24"/>
          <w:szCs w:val="24"/>
        </w:rPr>
        <w:t>）《制药工业水污染物排放标准》（</w:t>
      </w:r>
      <w:r>
        <w:rPr>
          <w:rFonts w:ascii="Times New Roman" w:hAnsi="Times New Roman"/>
          <w:kern w:val="0"/>
          <w:sz w:val="24"/>
          <w:szCs w:val="24"/>
        </w:rPr>
        <w:t>GB21903~21905  2008</w:t>
      </w:r>
      <w:r>
        <w:rPr>
          <w:rFonts w:ascii="Times New Roman" w:hAnsi="Times New Roman" w:hint="eastAsia"/>
          <w:kern w:val="0"/>
          <w:sz w:val="24"/>
          <w:szCs w:val="24"/>
        </w:rPr>
        <w:t>）</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7</w:t>
      </w:r>
      <w:r>
        <w:rPr>
          <w:rFonts w:ascii="Times New Roman" w:hAnsi="Times New Roman" w:hint="eastAsia"/>
          <w:kern w:val="0"/>
          <w:sz w:val="24"/>
          <w:szCs w:val="24"/>
        </w:rPr>
        <w:t>）战略性新兴产业重点产品和服务指导目录（国家发展和改革委员会，</w:t>
      </w:r>
      <w:r>
        <w:rPr>
          <w:rFonts w:ascii="Times New Roman" w:hAnsi="Times New Roman"/>
          <w:kern w:val="0"/>
          <w:sz w:val="24"/>
          <w:szCs w:val="24"/>
        </w:rPr>
        <w:t>2013</w:t>
      </w:r>
      <w:r>
        <w:rPr>
          <w:rFonts w:ascii="Times New Roman" w:hAnsi="Times New Roman" w:hint="eastAsia"/>
          <w:kern w:val="0"/>
          <w:sz w:val="24"/>
          <w:szCs w:val="24"/>
        </w:rPr>
        <w:t>）</w:t>
      </w:r>
    </w:p>
    <w:p w:rsidR="00D06F00" w:rsidRPr="00822F4E" w:rsidRDefault="00D06F00" w:rsidP="00D06F00">
      <w:pPr>
        <w:pStyle w:val="3"/>
        <w:spacing w:before="0" w:after="0" w:line="460" w:lineRule="exact"/>
        <w:rPr>
          <w:rFonts w:ascii="黑体" w:eastAsia="黑体" w:hAnsi="黑体"/>
          <w:b w:val="0"/>
          <w:kern w:val="0"/>
          <w:sz w:val="24"/>
          <w:szCs w:val="24"/>
        </w:rPr>
      </w:pPr>
      <w:bookmarkStart w:id="23" w:name="_Toc462317580"/>
      <w:bookmarkStart w:id="24" w:name="_Toc462317686"/>
      <w:r w:rsidRPr="00822F4E">
        <w:rPr>
          <w:rFonts w:ascii="黑体" w:eastAsia="黑体" w:hAnsi="黑体"/>
          <w:b w:val="0"/>
          <w:kern w:val="0"/>
          <w:sz w:val="24"/>
          <w:szCs w:val="24"/>
        </w:rPr>
        <w:t xml:space="preserve">5.3 </w:t>
      </w:r>
      <w:r w:rsidRPr="00822F4E">
        <w:rPr>
          <w:rFonts w:ascii="黑体" w:eastAsia="黑体" w:hAnsi="黑体" w:hint="eastAsia"/>
          <w:b w:val="0"/>
          <w:kern w:val="0"/>
          <w:sz w:val="24"/>
          <w:szCs w:val="24"/>
        </w:rPr>
        <w:t>参考文献</w:t>
      </w:r>
      <w:bookmarkEnd w:id="23"/>
      <w:bookmarkEnd w:id="24"/>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本标准编制参考了以下文件：</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highlight w:val="cyan"/>
        </w:rPr>
      </w:pPr>
      <w:r>
        <w:rPr>
          <w:rFonts w:ascii="Times New Roman" w:hAnsi="Times New Roman" w:hint="eastAsia"/>
          <w:kern w:val="0"/>
          <w:sz w:val="24"/>
          <w:szCs w:val="24"/>
        </w:rPr>
        <w:t>（</w:t>
      </w:r>
      <w:r>
        <w:rPr>
          <w:rFonts w:ascii="Times New Roman" w:hAnsi="Times New Roman"/>
          <w:kern w:val="0"/>
          <w:sz w:val="24"/>
          <w:szCs w:val="24"/>
        </w:rPr>
        <w:t>1</w:t>
      </w:r>
      <w:r>
        <w:rPr>
          <w:rFonts w:ascii="Times New Roman" w:hAnsi="Times New Roman" w:hint="eastAsia"/>
          <w:kern w:val="0"/>
          <w:sz w:val="24"/>
          <w:szCs w:val="24"/>
        </w:rPr>
        <w:t>）《发酵行业清洁生产评价指标体系（试行）》（国家发展和改革委员会，</w:t>
      </w:r>
      <w:r>
        <w:rPr>
          <w:rFonts w:ascii="Times New Roman" w:hAnsi="Times New Roman"/>
          <w:kern w:val="0"/>
          <w:sz w:val="24"/>
          <w:szCs w:val="24"/>
        </w:rPr>
        <w:t>2007</w:t>
      </w:r>
      <w:r>
        <w:rPr>
          <w:rFonts w:ascii="Times New Roman" w:hAnsi="Times New Roman" w:hint="eastAsia"/>
          <w:kern w:val="0"/>
          <w:sz w:val="24"/>
          <w:szCs w:val="24"/>
        </w:rPr>
        <w:t>年</w:t>
      </w:r>
      <w:r>
        <w:rPr>
          <w:rFonts w:ascii="Times New Roman" w:hAnsi="Times New Roman"/>
          <w:kern w:val="0"/>
          <w:sz w:val="24"/>
          <w:szCs w:val="24"/>
        </w:rPr>
        <w:t>7</w:t>
      </w:r>
      <w:r>
        <w:rPr>
          <w:rFonts w:ascii="Times New Roman" w:hAnsi="Times New Roman" w:hint="eastAsia"/>
          <w:kern w:val="0"/>
          <w:sz w:val="24"/>
          <w:szCs w:val="24"/>
        </w:rPr>
        <w:t>月）</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2</w:t>
      </w:r>
      <w:r>
        <w:rPr>
          <w:rFonts w:ascii="Times New Roman" w:hAnsi="Times New Roman" w:hint="eastAsia"/>
          <w:kern w:val="0"/>
          <w:sz w:val="24"/>
          <w:szCs w:val="24"/>
        </w:rPr>
        <w:t>）医药行业节能减</w:t>
      </w:r>
      <w:proofErr w:type="gramStart"/>
      <w:r>
        <w:rPr>
          <w:rFonts w:ascii="Times New Roman" w:hAnsi="Times New Roman" w:hint="eastAsia"/>
          <w:kern w:val="0"/>
          <w:sz w:val="24"/>
          <w:szCs w:val="24"/>
        </w:rPr>
        <w:t>排技术</w:t>
      </w:r>
      <w:proofErr w:type="gramEnd"/>
      <w:r>
        <w:rPr>
          <w:rFonts w:ascii="Times New Roman" w:hAnsi="Times New Roman" w:hint="eastAsia"/>
          <w:kern w:val="0"/>
          <w:sz w:val="24"/>
          <w:szCs w:val="24"/>
        </w:rPr>
        <w:t>指南（</w:t>
      </w:r>
      <w:r>
        <w:rPr>
          <w:rFonts w:hint="eastAsia"/>
        </w:rPr>
        <w:t>工业和信息化部节能与综合利用司组织编制</w:t>
      </w:r>
      <w:r>
        <w:rPr>
          <w:rFonts w:ascii="Times New Roman" w:hAnsi="Times New Roman" w:hint="eastAsia"/>
          <w:kern w:val="0"/>
          <w:sz w:val="24"/>
          <w:szCs w:val="24"/>
        </w:rPr>
        <w:t>，</w:t>
      </w:r>
      <w:r>
        <w:rPr>
          <w:rFonts w:ascii="Times New Roman" w:hAnsi="Times New Roman"/>
          <w:kern w:val="0"/>
          <w:sz w:val="24"/>
          <w:szCs w:val="24"/>
        </w:rPr>
        <w:t>2011</w:t>
      </w:r>
      <w:r>
        <w:rPr>
          <w:rFonts w:ascii="Times New Roman" w:hAnsi="Times New Roman" w:hint="eastAsia"/>
          <w:kern w:val="0"/>
          <w:sz w:val="24"/>
          <w:szCs w:val="24"/>
        </w:rPr>
        <w:t>年</w:t>
      </w:r>
      <w:r>
        <w:rPr>
          <w:rFonts w:ascii="Times New Roman" w:hAnsi="Times New Roman"/>
          <w:kern w:val="0"/>
          <w:sz w:val="24"/>
          <w:szCs w:val="24"/>
        </w:rPr>
        <w:t>11</w:t>
      </w:r>
      <w:r>
        <w:rPr>
          <w:rFonts w:ascii="Times New Roman" w:hAnsi="Times New Roman" w:hint="eastAsia"/>
          <w:kern w:val="0"/>
          <w:sz w:val="24"/>
          <w:szCs w:val="24"/>
        </w:rPr>
        <w:t>月）</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3</w:t>
      </w:r>
      <w:r>
        <w:rPr>
          <w:rFonts w:ascii="Times New Roman" w:hAnsi="Times New Roman" w:hint="eastAsia"/>
          <w:kern w:val="0"/>
          <w:sz w:val="24"/>
          <w:szCs w:val="24"/>
        </w:rPr>
        <w:t>）</w:t>
      </w:r>
      <w:r>
        <w:rPr>
          <w:rFonts w:ascii="Times New Roman" w:hAnsi="Times New Roman"/>
          <w:kern w:val="0"/>
          <w:sz w:val="24"/>
          <w:szCs w:val="24"/>
        </w:rPr>
        <w:t>2011-2015</w:t>
      </w:r>
      <w:r>
        <w:rPr>
          <w:rFonts w:ascii="Times New Roman" w:hAnsi="Times New Roman" w:hint="eastAsia"/>
          <w:kern w:val="0"/>
          <w:sz w:val="24"/>
          <w:szCs w:val="24"/>
        </w:rPr>
        <w:t>年中国化学制药行业节能环保运行态势与</w:t>
      </w:r>
      <w:proofErr w:type="gramStart"/>
      <w:r>
        <w:rPr>
          <w:rFonts w:ascii="Times New Roman" w:hAnsi="Times New Roman" w:hint="eastAsia"/>
          <w:kern w:val="0"/>
          <w:sz w:val="24"/>
          <w:szCs w:val="24"/>
        </w:rPr>
        <w:t>投发展</w:t>
      </w:r>
      <w:proofErr w:type="gramEnd"/>
      <w:r>
        <w:rPr>
          <w:rFonts w:ascii="Times New Roman" w:hAnsi="Times New Roman" w:hint="eastAsia"/>
          <w:kern w:val="0"/>
          <w:sz w:val="24"/>
          <w:szCs w:val="24"/>
        </w:rPr>
        <w:t>前景分析报告</w:t>
      </w:r>
    </w:p>
    <w:p w:rsidR="00D06F00" w:rsidRDefault="00D06F00" w:rsidP="00822F4E">
      <w:pPr>
        <w:autoSpaceDE w:val="0"/>
        <w:autoSpaceDN w:val="0"/>
        <w:adjustRightInd w:val="0"/>
        <w:spacing w:line="360" w:lineRule="auto"/>
        <w:outlineLvl w:val="0"/>
        <w:rPr>
          <w:rFonts w:ascii="Times New Roman" w:hAnsi="Times New Roman"/>
          <w:kern w:val="0"/>
          <w:sz w:val="24"/>
          <w:szCs w:val="24"/>
        </w:rPr>
      </w:pPr>
      <w:bookmarkStart w:id="25" w:name="_Toc462317581"/>
      <w:bookmarkStart w:id="26" w:name="_Toc462317687"/>
      <w:r>
        <w:rPr>
          <w:rFonts w:ascii="Times New Roman" w:hAnsi="Times New Roman"/>
          <w:kern w:val="0"/>
          <w:sz w:val="24"/>
          <w:szCs w:val="24"/>
        </w:rPr>
        <w:t xml:space="preserve">6 </w:t>
      </w:r>
      <w:r>
        <w:rPr>
          <w:rFonts w:ascii="Times New Roman" w:hAnsi="Times New Roman" w:hint="eastAsia"/>
          <w:kern w:val="0"/>
          <w:sz w:val="24"/>
          <w:szCs w:val="24"/>
        </w:rPr>
        <w:t>编制方法</w:t>
      </w:r>
      <w:bookmarkEnd w:id="25"/>
      <w:bookmarkEnd w:id="26"/>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本指标体系在编制过程中具体采用以下方法：</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1</w:t>
      </w:r>
      <w:r>
        <w:rPr>
          <w:rFonts w:ascii="Times New Roman" w:hAnsi="Times New Roman" w:hint="eastAsia"/>
          <w:kern w:val="0"/>
          <w:sz w:val="24"/>
          <w:szCs w:val="24"/>
        </w:rPr>
        <w:t>）资料收集法</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为编制本指标体系，课题组先后收集了化学原料药产业发展相关政策、产业结构调整指导目录、现行的原料药行业清洁生产标准、中国医药统计年报等资料，作为编制本指标体系的支撑性资料。</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2</w:t>
      </w:r>
      <w:r>
        <w:rPr>
          <w:rFonts w:ascii="Times New Roman" w:hAnsi="Times New Roman" w:hint="eastAsia"/>
          <w:kern w:val="0"/>
          <w:sz w:val="24"/>
          <w:szCs w:val="24"/>
        </w:rPr>
        <w:t>）标准框架法</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针对化学原料药行业生产流程特点，根据《清洁生产评价指标体系编制通则（试行稿）》有关编制要求，确定了本指标体系框架。</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3</w:t>
      </w:r>
      <w:r>
        <w:rPr>
          <w:rFonts w:ascii="Times New Roman" w:hAnsi="Times New Roman" w:hint="eastAsia"/>
          <w:kern w:val="0"/>
          <w:sz w:val="24"/>
          <w:szCs w:val="24"/>
        </w:rPr>
        <w:t>）指标值确定法</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本指标体系定量指标基准值的确定，主要是参照化学原料药产业发展相关政策、产业结构调整指导目录、制药工业水污染排放标准、中国医药统计年报等。</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本指标体系定性指标内容的确定，主要是参照化学原料药产业发展相关政策、产业结构调整指导目录、国家对化学原料药企业清洁生产审核管理要求等资料。</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4</w:t>
      </w:r>
      <w:r>
        <w:rPr>
          <w:rFonts w:ascii="Times New Roman" w:hAnsi="Times New Roman" w:hint="eastAsia"/>
          <w:kern w:val="0"/>
          <w:sz w:val="24"/>
          <w:szCs w:val="24"/>
        </w:rPr>
        <w:t>）专家评审法</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由中国医药企业管理协会组织内部专家对指标体系初稿、征求意见稿、送审稿进行评审，提出修改完善意见。由国家发展和改革委员会、工业和信息化部、环境</w:t>
      </w:r>
      <w:r>
        <w:rPr>
          <w:rFonts w:ascii="Times New Roman" w:hAnsi="Times New Roman" w:hint="eastAsia"/>
          <w:kern w:val="0"/>
          <w:sz w:val="24"/>
          <w:szCs w:val="24"/>
        </w:rPr>
        <w:lastRenderedPageBreak/>
        <w:t>保护部组织有政府主管部门、化学原料药企业、工程设计单位等组成的专家评审组对指标体系文本内容进行初审和终审，编制小组根据评审会议专家组提出的修改意见进行修改完善。</w:t>
      </w:r>
    </w:p>
    <w:p w:rsidR="00D06F00" w:rsidRDefault="00D06F00" w:rsidP="00822F4E">
      <w:pPr>
        <w:autoSpaceDE w:val="0"/>
        <w:autoSpaceDN w:val="0"/>
        <w:adjustRightInd w:val="0"/>
        <w:spacing w:line="360" w:lineRule="auto"/>
        <w:outlineLvl w:val="0"/>
        <w:rPr>
          <w:rFonts w:ascii="Times New Roman" w:hAnsi="Times New Roman"/>
          <w:kern w:val="0"/>
          <w:sz w:val="24"/>
          <w:szCs w:val="24"/>
        </w:rPr>
      </w:pPr>
      <w:bookmarkStart w:id="27" w:name="_Toc462317582"/>
      <w:bookmarkStart w:id="28" w:name="_Toc462317688"/>
      <w:r>
        <w:rPr>
          <w:rFonts w:ascii="Times New Roman" w:hAnsi="Times New Roman"/>
          <w:kern w:val="0"/>
          <w:sz w:val="24"/>
          <w:szCs w:val="24"/>
        </w:rPr>
        <w:t xml:space="preserve">7 </w:t>
      </w:r>
      <w:r>
        <w:rPr>
          <w:rFonts w:ascii="Times New Roman" w:hAnsi="Times New Roman" w:hint="eastAsia"/>
          <w:kern w:val="0"/>
          <w:sz w:val="24"/>
          <w:szCs w:val="24"/>
        </w:rPr>
        <w:t>指标体系框架的确立</w:t>
      </w:r>
      <w:bookmarkEnd w:id="27"/>
      <w:bookmarkEnd w:id="28"/>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本指标体系中评价指标体系框架的确立，主要依据《清洁生产评价指标体系编制通则（试行稿）》，并结合化学原料药行业生产特点，吸收采纳了已颁布或已编制完成尚未颁布的清洁生产标准的研究成果予以确定。</w:t>
      </w:r>
    </w:p>
    <w:p w:rsidR="00D06F00" w:rsidRDefault="00D06F00" w:rsidP="00822F4E">
      <w:pPr>
        <w:autoSpaceDE w:val="0"/>
        <w:autoSpaceDN w:val="0"/>
        <w:adjustRightInd w:val="0"/>
        <w:spacing w:line="360" w:lineRule="auto"/>
        <w:outlineLvl w:val="0"/>
        <w:rPr>
          <w:rFonts w:ascii="Times New Roman" w:hAnsi="Times New Roman"/>
          <w:kern w:val="0"/>
          <w:sz w:val="24"/>
          <w:szCs w:val="24"/>
        </w:rPr>
      </w:pPr>
      <w:bookmarkStart w:id="29" w:name="_Toc462317583"/>
      <w:bookmarkStart w:id="30" w:name="_Toc462317689"/>
      <w:r>
        <w:rPr>
          <w:rFonts w:ascii="Times New Roman" w:hAnsi="Times New Roman"/>
          <w:kern w:val="0"/>
          <w:sz w:val="24"/>
          <w:szCs w:val="24"/>
        </w:rPr>
        <w:t xml:space="preserve">8 </w:t>
      </w:r>
      <w:r>
        <w:rPr>
          <w:rFonts w:ascii="Times New Roman" w:hAnsi="Times New Roman" w:hint="eastAsia"/>
          <w:kern w:val="0"/>
          <w:sz w:val="24"/>
          <w:szCs w:val="24"/>
        </w:rPr>
        <w:t>指标内容的确定</w:t>
      </w:r>
      <w:bookmarkEnd w:id="29"/>
      <w:bookmarkEnd w:id="30"/>
    </w:p>
    <w:p w:rsidR="00D06F00" w:rsidRPr="00822F4E" w:rsidRDefault="00D06F00" w:rsidP="00D06F00">
      <w:pPr>
        <w:pStyle w:val="3"/>
        <w:spacing w:before="0" w:after="0" w:line="460" w:lineRule="exact"/>
        <w:rPr>
          <w:rFonts w:ascii="黑体" w:eastAsia="黑体" w:hAnsi="黑体"/>
          <w:b w:val="0"/>
          <w:kern w:val="0"/>
          <w:sz w:val="24"/>
          <w:szCs w:val="24"/>
        </w:rPr>
      </w:pPr>
      <w:bookmarkStart w:id="31" w:name="_Toc462317584"/>
      <w:bookmarkStart w:id="32" w:name="_Toc462317690"/>
      <w:r w:rsidRPr="00822F4E">
        <w:rPr>
          <w:rFonts w:ascii="黑体" w:eastAsia="黑体" w:hAnsi="黑体"/>
          <w:b w:val="0"/>
          <w:kern w:val="0"/>
          <w:sz w:val="24"/>
          <w:szCs w:val="24"/>
        </w:rPr>
        <w:t xml:space="preserve">8.1 </w:t>
      </w:r>
      <w:r w:rsidRPr="00822F4E">
        <w:rPr>
          <w:rFonts w:ascii="黑体" w:eastAsia="黑体" w:hAnsi="黑体" w:hint="eastAsia"/>
          <w:b w:val="0"/>
          <w:kern w:val="0"/>
          <w:sz w:val="24"/>
          <w:szCs w:val="24"/>
        </w:rPr>
        <w:t>指标权重值的确定</w:t>
      </w:r>
      <w:bookmarkEnd w:id="31"/>
      <w:bookmarkEnd w:id="32"/>
    </w:p>
    <w:p w:rsidR="00D06F00" w:rsidRPr="00F67E62" w:rsidRDefault="00D06F00" w:rsidP="00F67E62">
      <w:pPr>
        <w:autoSpaceDE w:val="0"/>
        <w:autoSpaceDN w:val="0"/>
        <w:adjustRightInd w:val="0"/>
        <w:spacing w:line="460" w:lineRule="exact"/>
        <w:outlineLvl w:val="2"/>
        <w:rPr>
          <w:rFonts w:ascii="黑体" w:eastAsia="黑体" w:hAnsi="黑体"/>
          <w:kern w:val="0"/>
          <w:sz w:val="24"/>
          <w:szCs w:val="24"/>
        </w:rPr>
      </w:pPr>
      <w:bookmarkStart w:id="33" w:name="_Toc462317585"/>
      <w:bookmarkStart w:id="34" w:name="_Toc462317691"/>
      <w:r w:rsidRPr="00F67E62">
        <w:rPr>
          <w:rFonts w:ascii="黑体" w:eastAsia="黑体" w:hAnsi="黑体"/>
          <w:kern w:val="0"/>
          <w:sz w:val="24"/>
          <w:szCs w:val="24"/>
        </w:rPr>
        <w:t xml:space="preserve">8.1.1 </w:t>
      </w:r>
      <w:r w:rsidRPr="00F67E62">
        <w:rPr>
          <w:rFonts w:ascii="黑体" w:eastAsia="黑体" w:hAnsi="黑体" w:hint="eastAsia"/>
          <w:kern w:val="0"/>
          <w:sz w:val="24"/>
          <w:szCs w:val="24"/>
        </w:rPr>
        <w:t>一级指标权重值的确定</w:t>
      </w:r>
      <w:bookmarkEnd w:id="33"/>
      <w:bookmarkEnd w:id="34"/>
    </w:p>
    <w:p w:rsidR="00D06F00" w:rsidRDefault="00D06F00" w:rsidP="00D06F00">
      <w:pPr>
        <w:autoSpaceDE w:val="0"/>
        <w:autoSpaceDN w:val="0"/>
        <w:adjustRightInd w:val="0"/>
        <w:spacing w:line="460" w:lineRule="exact"/>
        <w:ind w:firstLineChars="200" w:firstLine="480"/>
        <w:rPr>
          <w:rFonts w:ascii="Times New Roman" w:hAnsi="Times New Roman"/>
          <w:color w:val="FF0000"/>
          <w:kern w:val="0"/>
          <w:sz w:val="24"/>
          <w:szCs w:val="24"/>
        </w:rPr>
      </w:pPr>
      <w:r>
        <w:rPr>
          <w:rFonts w:ascii="Times New Roman" w:hAnsi="Times New Roman" w:hint="eastAsia"/>
          <w:kern w:val="0"/>
          <w:sz w:val="24"/>
          <w:szCs w:val="24"/>
        </w:rPr>
        <w:t>一级指标包括：原辅材料、生产工艺及设备、环境体系建设及清洁生产审核、贯彻执行环境法规、资源和能源消耗、生产技术与产品特征、资源综合利用、污染物排放控制等八类指标，根据这八类指标在对化学原料药及结合企业清洁生产水平评价中所起的作用和影响程度大小，将原辅材料指标权重值确定为</w:t>
      </w:r>
      <w:r>
        <w:rPr>
          <w:rFonts w:ascii="Times New Roman" w:hAnsi="Times New Roman"/>
          <w:kern w:val="0"/>
          <w:sz w:val="24"/>
          <w:szCs w:val="24"/>
        </w:rPr>
        <w:t>20</w:t>
      </w:r>
      <w:r>
        <w:rPr>
          <w:rFonts w:ascii="Times New Roman" w:hAnsi="Times New Roman" w:hint="eastAsia"/>
          <w:kern w:val="0"/>
          <w:sz w:val="24"/>
          <w:szCs w:val="24"/>
        </w:rPr>
        <w:t>、生产工艺及设备指标权重值确定为</w:t>
      </w:r>
      <w:r>
        <w:rPr>
          <w:rFonts w:ascii="Times New Roman" w:hAnsi="Times New Roman"/>
          <w:kern w:val="0"/>
          <w:sz w:val="24"/>
          <w:szCs w:val="24"/>
        </w:rPr>
        <w:t>30</w:t>
      </w:r>
      <w:r>
        <w:rPr>
          <w:rFonts w:ascii="Times New Roman" w:hAnsi="Times New Roman" w:hint="eastAsia"/>
          <w:kern w:val="0"/>
          <w:sz w:val="24"/>
          <w:szCs w:val="24"/>
        </w:rPr>
        <w:t>、环境体系建设及清洁生产审核指标权重值确定为</w:t>
      </w:r>
      <w:r>
        <w:rPr>
          <w:rFonts w:ascii="Times New Roman" w:hAnsi="Times New Roman"/>
          <w:kern w:val="0"/>
          <w:sz w:val="24"/>
          <w:szCs w:val="24"/>
        </w:rPr>
        <w:t>25</w:t>
      </w:r>
      <w:r>
        <w:rPr>
          <w:rFonts w:ascii="Times New Roman" w:hAnsi="Times New Roman" w:hint="eastAsia"/>
          <w:kern w:val="0"/>
          <w:sz w:val="24"/>
          <w:szCs w:val="24"/>
        </w:rPr>
        <w:t>、贯彻执行环境法规指标权重值确定为</w:t>
      </w:r>
      <w:r>
        <w:rPr>
          <w:rFonts w:ascii="Times New Roman" w:hAnsi="Times New Roman"/>
          <w:kern w:val="0"/>
          <w:sz w:val="24"/>
          <w:szCs w:val="24"/>
        </w:rPr>
        <w:t>25</w:t>
      </w:r>
      <w:r>
        <w:rPr>
          <w:rFonts w:ascii="Times New Roman" w:hAnsi="Times New Roman" w:hint="eastAsia"/>
          <w:kern w:val="0"/>
          <w:sz w:val="24"/>
          <w:szCs w:val="24"/>
        </w:rPr>
        <w:t>、资源和能源消耗指标权重值确定为</w:t>
      </w:r>
      <w:r>
        <w:rPr>
          <w:rFonts w:ascii="Times New Roman" w:hAnsi="Times New Roman"/>
          <w:kern w:val="0"/>
          <w:sz w:val="24"/>
          <w:szCs w:val="24"/>
        </w:rPr>
        <w:t>30</w:t>
      </w:r>
      <w:r>
        <w:rPr>
          <w:rFonts w:ascii="Times New Roman" w:hAnsi="Times New Roman" w:hint="eastAsia"/>
          <w:kern w:val="0"/>
          <w:sz w:val="24"/>
          <w:szCs w:val="24"/>
        </w:rPr>
        <w:t>、生产技术与产品特征指标权重值确定为</w:t>
      </w:r>
      <w:r>
        <w:rPr>
          <w:rFonts w:ascii="Times New Roman" w:hAnsi="Times New Roman"/>
          <w:kern w:val="0"/>
          <w:sz w:val="24"/>
          <w:szCs w:val="24"/>
        </w:rPr>
        <w:t>30</w:t>
      </w:r>
      <w:r>
        <w:rPr>
          <w:rFonts w:ascii="Times New Roman" w:hAnsi="Times New Roman" w:hint="eastAsia"/>
          <w:kern w:val="0"/>
          <w:sz w:val="24"/>
          <w:szCs w:val="24"/>
        </w:rPr>
        <w:t>、资源综合利用指标权重值确定为</w:t>
      </w:r>
      <w:r>
        <w:rPr>
          <w:rFonts w:ascii="Times New Roman" w:hAnsi="Times New Roman"/>
          <w:kern w:val="0"/>
          <w:sz w:val="24"/>
          <w:szCs w:val="24"/>
        </w:rPr>
        <w:t>25</w:t>
      </w:r>
      <w:r>
        <w:rPr>
          <w:rFonts w:ascii="Times New Roman" w:hAnsi="Times New Roman" w:hint="eastAsia"/>
          <w:kern w:val="0"/>
          <w:sz w:val="24"/>
          <w:szCs w:val="24"/>
        </w:rPr>
        <w:t>、污染物排放控制指标权重值确定为</w:t>
      </w:r>
      <w:r>
        <w:rPr>
          <w:rFonts w:ascii="Times New Roman" w:hAnsi="Times New Roman"/>
          <w:kern w:val="0"/>
          <w:sz w:val="24"/>
          <w:szCs w:val="24"/>
        </w:rPr>
        <w:t>10</w:t>
      </w:r>
      <w:r>
        <w:rPr>
          <w:rFonts w:ascii="Times New Roman" w:hAnsi="Times New Roman" w:hint="eastAsia"/>
          <w:kern w:val="0"/>
          <w:sz w:val="24"/>
          <w:szCs w:val="24"/>
        </w:rPr>
        <w:t>。</w:t>
      </w:r>
    </w:p>
    <w:p w:rsidR="00D06F00" w:rsidRPr="00F67E62" w:rsidRDefault="00D06F00" w:rsidP="00F67E62">
      <w:pPr>
        <w:autoSpaceDE w:val="0"/>
        <w:autoSpaceDN w:val="0"/>
        <w:adjustRightInd w:val="0"/>
        <w:spacing w:line="460" w:lineRule="exact"/>
        <w:outlineLvl w:val="2"/>
        <w:rPr>
          <w:rFonts w:ascii="黑体" w:eastAsia="黑体" w:hAnsi="黑体"/>
          <w:kern w:val="0"/>
          <w:sz w:val="24"/>
          <w:szCs w:val="24"/>
        </w:rPr>
      </w:pPr>
      <w:bookmarkStart w:id="35" w:name="_Toc462317586"/>
      <w:bookmarkStart w:id="36" w:name="_Toc462317692"/>
      <w:r w:rsidRPr="00F67E62">
        <w:rPr>
          <w:rFonts w:ascii="黑体" w:eastAsia="黑体" w:hAnsi="黑体"/>
          <w:kern w:val="0"/>
          <w:sz w:val="24"/>
          <w:szCs w:val="24"/>
        </w:rPr>
        <w:t xml:space="preserve">8.1.2 </w:t>
      </w:r>
      <w:r w:rsidRPr="00F67E62">
        <w:rPr>
          <w:rFonts w:ascii="黑体" w:eastAsia="黑体" w:hAnsi="黑体" w:hint="eastAsia"/>
          <w:kern w:val="0"/>
          <w:sz w:val="24"/>
          <w:szCs w:val="24"/>
        </w:rPr>
        <w:t>二级指标分权重值的确定</w:t>
      </w:r>
      <w:bookmarkEnd w:id="35"/>
      <w:bookmarkEnd w:id="36"/>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对于隶属于一级指标的二级指标分权重值的确定，主要根据各二级指标在企业化学原料药生产过程中对清洁生产的贡献多少、影响程度大小而定，二级指标权重值越大的指标说明其对清洁生产贡献越大、影响程度越大。各二级指标权重值的赋值情况</w:t>
      </w:r>
      <w:proofErr w:type="gramStart"/>
      <w:r>
        <w:rPr>
          <w:rFonts w:ascii="Times New Roman" w:hAnsi="Times New Roman" w:hint="eastAsia"/>
          <w:kern w:val="0"/>
          <w:sz w:val="24"/>
          <w:szCs w:val="24"/>
        </w:rPr>
        <w:t>见指标</w:t>
      </w:r>
      <w:proofErr w:type="gramEnd"/>
      <w:r>
        <w:rPr>
          <w:rFonts w:ascii="Times New Roman" w:hAnsi="Times New Roman" w:hint="eastAsia"/>
          <w:kern w:val="0"/>
          <w:sz w:val="24"/>
          <w:szCs w:val="24"/>
        </w:rPr>
        <w:t>体系文本表</w:t>
      </w:r>
      <w:r>
        <w:rPr>
          <w:rFonts w:ascii="Times New Roman" w:hAnsi="Times New Roman"/>
          <w:kern w:val="0"/>
          <w:sz w:val="24"/>
          <w:szCs w:val="24"/>
        </w:rPr>
        <w:t>1-</w:t>
      </w:r>
      <w:r>
        <w:rPr>
          <w:rFonts w:ascii="Times New Roman" w:hAnsi="Times New Roman" w:hint="eastAsia"/>
          <w:kern w:val="0"/>
          <w:sz w:val="24"/>
          <w:szCs w:val="24"/>
        </w:rPr>
        <w:t>表</w:t>
      </w:r>
      <w:r>
        <w:rPr>
          <w:rFonts w:ascii="Times New Roman" w:hAnsi="Times New Roman"/>
          <w:kern w:val="0"/>
          <w:sz w:val="24"/>
          <w:szCs w:val="24"/>
        </w:rPr>
        <w:t>3</w:t>
      </w:r>
      <w:r>
        <w:rPr>
          <w:rFonts w:ascii="Times New Roman" w:hAnsi="Times New Roman" w:hint="eastAsia"/>
          <w:kern w:val="0"/>
          <w:sz w:val="24"/>
          <w:szCs w:val="24"/>
        </w:rPr>
        <w:t>。</w:t>
      </w:r>
    </w:p>
    <w:p w:rsidR="00D06F00" w:rsidRPr="00822F4E" w:rsidRDefault="00D06F00" w:rsidP="00D06F00">
      <w:pPr>
        <w:pStyle w:val="3"/>
        <w:spacing w:before="0" w:after="0" w:line="460" w:lineRule="exact"/>
        <w:rPr>
          <w:rFonts w:ascii="黑体" w:eastAsia="黑体" w:hAnsi="黑体"/>
          <w:b w:val="0"/>
          <w:kern w:val="0"/>
          <w:sz w:val="24"/>
          <w:szCs w:val="24"/>
        </w:rPr>
      </w:pPr>
      <w:bookmarkStart w:id="37" w:name="_Toc462317587"/>
      <w:bookmarkStart w:id="38" w:name="_Toc462317693"/>
      <w:r w:rsidRPr="00822F4E">
        <w:rPr>
          <w:rFonts w:ascii="黑体" w:eastAsia="黑体" w:hAnsi="黑体"/>
          <w:b w:val="0"/>
          <w:kern w:val="0"/>
          <w:sz w:val="24"/>
          <w:szCs w:val="24"/>
        </w:rPr>
        <w:t xml:space="preserve">8.2 </w:t>
      </w:r>
      <w:r w:rsidRPr="00822F4E">
        <w:rPr>
          <w:rFonts w:ascii="黑体" w:eastAsia="黑体" w:hAnsi="黑体" w:hint="eastAsia"/>
          <w:b w:val="0"/>
          <w:kern w:val="0"/>
          <w:sz w:val="24"/>
          <w:szCs w:val="24"/>
        </w:rPr>
        <w:t>二级指标基准值的确定</w:t>
      </w:r>
      <w:bookmarkEnd w:id="37"/>
      <w:bookmarkEnd w:id="38"/>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1</w:t>
      </w:r>
      <w:r>
        <w:rPr>
          <w:rFonts w:ascii="Times New Roman" w:hAnsi="Times New Roman" w:hint="eastAsia"/>
          <w:kern w:val="0"/>
          <w:sz w:val="24"/>
          <w:szCs w:val="24"/>
        </w:rPr>
        <w:t>）原辅材料类二级指标内容的确定</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原辅材料类二级指标共有</w:t>
      </w:r>
      <w:r>
        <w:rPr>
          <w:rFonts w:ascii="Times New Roman" w:hAnsi="Times New Roman"/>
          <w:kern w:val="0"/>
          <w:sz w:val="24"/>
          <w:szCs w:val="24"/>
        </w:rPr>
        <w:t>5</w:t>
      </w:r>
      <w:r>
        <w:rPr>
          <w:rFonts w:ascii="Times New Roman" w:hAnsi="Times New Roman" w:hint="eastAsia"/>
          <w:kern w:val="0"/>
          <w:sz w:val="24"/>
          <w:szCs w:val="24"/>
        </w:rPr>
        <w:t>项。分别为：起始原料获得的难易程度，动、植物原料来源，使用试剂及溶剂类别，</w:t>
      </w:r>
      <w:proofErr w:type="gramStart"/>
      <w:r>
        <w:rPr>
          <w:rFonts w:ascii="Times New Roman" w:hAnsi="Times New Roman" w:hint="eastAsia"/>
          <w:kern w:val="0"/>
          <w:sz w:val="24"/>
          <w:szCs w:val="24"/>
        </w:rPr>
        <w:t>碳源和氮源</w:t>
      </w:r>
      <w:proofErr w:type="gramEnd"/>
      <w:r>
        <w:rPr>
          <w:rFonts w:ascii="Times New Roman" w:hAnsi="Times New Roman" w:hint="eastAsia"/>
          <w:kern w:val="0"/>
          <w:sz w:val="24"/>
          <w:szCs w:val="24"/>
        </w:rPr>
        <w:t>种类，高效发酵菌种。是根据原料药的合成、提取和发酵三种不同来源方式对原辅材料的需求确定的。</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2</w:t>
      </w:r>
      <w:r>
        <w:rPr>
          <w:rFonts w:ascii="Times New Roman" w:hAnsi="Times New Roman" w:hint="eastAsia"/>
          <w:kern w:val="0"/>
          <w:sz w:val="24"/>
          <w:szCs w:val="24"/>
        </w:rPr>
        <w:t>）生产工艺及设备类二级指标内容的确定</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lastRenderedPageBreak/>
        <w:t>生产工艺及设备类二级指标共有</w:t>
      </w:r>
      <w:r>
        <w:rPr>
          <w:rFonts w:ascii="Times New Roman" w:hAnsi="Times New Roman"/>
          <w:kern w:val="0"/>
          <w:sz w:val="24"/>
          <w:szCs w:val="24"/>
        </w:rPr>
        <w:t>10</w:t>
      </w:r>
      <w:r>
        <w:rPr>
          <w:rFonts w:ascii="Times New Roman" w:hAnsi="Times New Roman" w:hint="eastAsia"/>
          <w:kern w:val="0"/>
          <w:sz w:val="24"/>
          <w:szCs w:val="24"/>
        </w:rPr>
        <w:t>项。分别为：是否使用催化剂，中温与低温，离子交换或树脂纯化，使用喷射真空泵，膜分离或多效浓缩，自动控制系统和生产监控系统，超临界萃取，使用喷雾干燥，绿色酶法技术，</w:t>
      </w:r>
      <w:r>
        <w:rPr>
          <w:rFonts w:ascii="Times New Roman" w:hAnsi="Times New Roman"/>
          <w:kern w:val="0"/>
          <w:sz w:val="24"/>
          <w:szCs w:val="24"/>
        </w:rPr>
        <w:t>CIP</w:t>
      </w:r>
      <w:r>
        <w:rPr>
          <w:rFonts w:ascii="Times New Roman" w:hAnsi="Times New Roman" w:hint="eastAsia"/>
          <w:kern w:val="0"/>
          <w:sz w:val="24"/>
          <w:szCs w:val="24"/>
        </w:rPr>
        <w:t>清洗。是根据国家及化学原料药行业节能减排要求，以及实际生产情况确定的。</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3</w:t>
      </w:r>
      <w:r>
        <w:rPr>
          <w:rFonts w:ascii="Times New Roman" w:hAnsi="Times New Roman" w:hint="eastAsia"/>
          <w:kern w:val="0"/>
          <w:sz w:val="24"/>
          <w:szCs w:val="24"/>
        </w:rPr>
        <w:t>）环境体系建设及清洁生产审核类二级指标内容的确定</w:t>
      </w:r>
    </w:p>
    <w:p w:rsidR="00D06F00" w:rsidRDefault="00D06F00" w:rsidP="00D06F00">
      <w:pPr>
        <w:autoSpaceDE w:val="0"/>
        <w:autoSpaceDN w:val="0"/>
        <w:adjustRightInd w:val="0"/>
        <w:spacing w:line="460" w:lineRule="exact"/>
        <w:ind w:firstLineChars="200" w:firstLine="480"/>
        <w:rPr>
          <w:rFonts w:ascii="Times New Roman" w:hAnsi="Times New Roman"/>
          <w:color w:val="FF0000"/>
          <w:kern w:val="0"/>
          <w:sz w:val="24"/>
          <w:szCs w:val="24"/>
        </w:rPr>
      </w:pPr>
      <w:r>
        <w:rPr>
          <w:rFonts w:ascii="Times New Roman" w:hAnsi="Times New Roman" w:hint="eastAsia"/>
          <w:kern w:val="0"/>
          <w:sz w:val="24"/>
          <w:szCs w:val="24"/>
        </w:rPr>
        <w:t>环境体系建设及清洁生产审核类二级指标共有</w:t>
      </w:r>
      <w:r>
        <w:rPr>
          <w:rFonts w:ascii="Times New Roman" w:hAnsi="Times New Roman"/>
          <w:kern w:val="0"/>
          <w:sz w:val="24"/>
          <w:szCs w:val="24"/>
        </w:rPr>
        <w:t>7</w:t>
      </w:r>
      <w:r>
        <w:rPr>
          <w:rFonts w:ascii="Times New Roman" w:hAnsi="Times New Roman" w:hint="eastAsia"/>
          <w:kern w:val="0"/>
          <w:sz w:val="24"/>
          <w:szCs w:val="24"/>
        </w:rPr>
        <w:t>项。分别为：通过</w:t>
      </w:r>
      <w:r>
        <w:rPr>
          <w:rFonts w:ascii="Times New Roman" w:hAnsi="Times New Roman"/>
          <w:kern w:val="0"/>
          <w:sz w:val="24"/>
          <w:szCs w:val="24"/>
        </w:rPr>
        <w:t>ISO 9000</w:t>
      </w:r>
      <w:r>
        <w:rPr>
          <w:rFonts w:ascii="Times New Roman" w:hAnsi="Times New Roman" w:hint="eastAsia"/>
          <w:kern w:val="0"/>
          <w:sz w:val="24"/>
          <w:szCs w:val="24"/>
        </w:rPr>
        <w:t>质量管理体系认证，通过现行版</w:t>
      </w:r>
      <w:r>
        <w:rPr>
          <w:rFonts w:ascii="Times New Roman" w:hAnsi="Times New Roman"/>
          <w:kern w:val="0"/>
          <w:sz w:val="24"/>
          <w:szCs w:val="24"/>
        </w:rPr>
        <w:t>GMP</w:t>
      </w:r>
      <w:r>
        <w:rPr>
          <w:rFonts w:ascii="Times New Roman" w:hAnsi="Times New Roman" w:hint="eastAsia"/>
          <w:kern w:val="0"/>
          <w:sz w:val="24"/>
          <w:szCs w:val="24"/>
        </w:rPr>
        <w:t>认证，通过</w:t>
      </w:r>
      <w:r>
        <w:rPr>
          <w:rFonts w:ascii="Times New Roman" w:hAnsi="Times New Roman"/>
          <w:kern w:val="0"/>
          <w:sz w:val="24"/>
          <w:szCs w:val="24"/>
        </w:rPr>
        <w:t>ISO 14000</w:t>
      </w:r>
      <w:r>
        <w:rPr>
          <w:rFonts w:ascii="Times New Roman" w:hAnsi="Times New Roman" w:hint="eastAsia"/>
          <w:kern w:val="0"/>
          <w:sz w:val="24"/>
          <w:szCs w:val="24"/>
        </w:rPr>
        <w:t>环境管理体系认证，进行清洁生产审核，开展环境标志认证，所有岗位进行严格培训。主要是依据药品原料药生产有关标本、要求、规范以及国家相关政策予以确定。</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4</w:t>
      </w:r>
      <w:r>
        <w:rPr>
          <w:rFonts w:ascii="Times New Roman" w:hAnsi="Times New Roman" w:hint="eastAsia"/>
          <w:kern w:val="0"/>
          <w:sz w:val="24"/>
          <w:szCs w:val="24"/>
        </w:rPr>
        <w:t>）贯彻执行环境法规类二级指标内容的确定</w:t>
      </w:r>
    </w:p>
    <w:p w:rsidR="00D06F00" w:rsidRDefault="00D06F00" w:rsidP="00D06F00">
      <w:pPr>
        <w:autoSpaceDE w:val="0"/>
        <w:autoSpaceDN w:val="0"/>
        <w:adjustRightInd w:val="0"/>
        <w:spacing w:line="460" w:lineRule="exact"/>
        <w:ind w:firstLineChars="200" w:firstLine="480"/>
        <w:rPr>
          <w:rFonts w:ascii="Times New Roman" w:hAnsi="Times New Roman"/>
          <w:color w:val="FF0000"/>
          <w:kern w:val="0"/>
          <w:sz w:val="24"/>
          <w:szCs w:val="24"/>
        </w:rPr>
      </w:pPr>
      <w:r>
        <w:rPr>
          <w:rFonts w:ascii="Times New Roman" w:hAnsi="Times New Roman" w:hint="eastAsia"/>
          <w:kern w:val="0"/>
          <w:sz w:val="24"/>
          <w:szCs w:val="24"/>
        </w:rPr>
        <w:t>贯彻执行环境法规类二级指标共有</w:t>
      </w:r>
      <w:r>
        <w:rPr>
          <w:rFonts w:ascii="Times New Roman" w:hAnsi="Times New Roman"/>
          <w:kern w:val="0"/>
          <w:sz w:val="24"/>
          <w:szCs w:val="24"/>
        </w:rPr>
        <w:t>4</w:t>
      </w:r>
      <w:r>
        <w:rPr>
          <w:rFonts w:ascii="Times New Roman" w:hAnsi="Times New Roman" w:hint="eastAsia"/>
          <w:kern w:val="0"/>
          <w:sz w:val="24"/>
          <w:szCs w:val="24"/>
        </w:rPr>
        <w:t>项，分别为：有环保规章、管理机构和有效的环境检测手段，对污染物排放实行定期监测和污水排放</w:t>
      </w:r>
      <w:proofErr w:type="gramStart"/>
      <w:r>
        <w:rPr>
          <w:rFonts w:ascii="Times New Roman" w:hAnsi="Times New Roman" w:hint="eastAsia"/>
          <w:kern w:val="0"/>
          <w:sz w:val="24"/>
          <w:szCs w:val="24"/>
        </w:rPr>
        <w:t>口规范</w:t>
      </w:r>
      <w:proofErr w:type="gramEnd"/>
      <w:r>
        <w:rPr>
          <w:rFonts w:ascii="Times New Roman" w:hAnsi="Times New Roman" w:hint="eastAsia"/>
          <w:kern w:val="0"/>
          <w:sz w:val="24"/>
          <w:szCs w:val="24"/>
        </w:rPr>
        <w:t>管理，对各生产单位的环保状况实行月度、年度考核，对污染物排放实行总量限制控制和年度考核。主要是依据国家相关清洁生产法律、法规、政策；国家有关节能减排要求；国家与地方政府、化学原料药行业开展创建清洁生产先进企业、清洁生产示范企业活动等管理要求予以确定的。</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5</w:t>
      </w:r>
      <w:r>
        <w:rPr>
          <w:rFonts w:ascii="Times New Roman" w:hAnsi="Times New Roman" w:hint="eastAsia"/>
          <w:kern w:val="0"/>
          <w:sz w:val="24"/>
          <w:szCs w:val="24"/>
        </w:rPr>
        <w:t>）资源和能源消耗类二级指标内容的确定</w:t>
      </w:r>
    </w:p>
    <w:p w:rsidR="00D06F00" w:rsidRDefault="00D06F00" w:rsidP="00D06F00">
      <w:pPr>
        <w:autoSpaceDE w:val="0"/>
        <w:autoSpaceDN w:val="0"/>
        <w:adjustRightInd w:val="0"/>
        <w:spacing w:line="460" w:lineRule="exact"/>
        <w:ind w:firstLineChars="200" w:firstLine="480"/>
        <w:rPr>
          <w:rFonts w:ascii="Times New Roman" w:hAnsi="Times New Roman"/>
          <w:color w:val="FF0000"/>
          <w:kern w:val="0"/>
          <w:sz w:val="24"/>
          <w:szCs w:val="24"/>
        </w:rPr>
      </w:pPr>
      <w:r>
        <w:rPr>
          <w:rFonts w:ascii="Times New Roman" w:hAnsi="Times New Roman" w:hint="eastAsia"/>
          <w:kern w:val="0"/>
          <w:sz w:val="24"/>
          <w:szCs w:val="24"/>
        </w:rPr>
        <w:t>资源和能源消耗类二级指标共有</w:t>
      </w:r>
      <w:r>
        <w:rPr>
          <w:rFonts w:ascii="Times New Roman" w:hAnsi="Times New Roman"/>
          <w:kern w:val="0"/>
          <w:sz w:val="24"/>
          <w:szCs w:val="24"/>
        </w:rPr>
        <w:t>3</w:t>
      </w:r>
      <w:r>
        <w:rPr>
          <w:rFonts w:ascii="Times New Roman" w:hAnsi="Times New Roman" w:hint="eastAsia"/>
          <w:kern w:val="0"/>
          <w:sz w:val="24"/>
          <w:szCs w:val="24"/>
        </w:rPr>
        <w:t>项。分别为：吨产品原料消耗量，取水量，综合能耗。指标内容确定方法如下：</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原料药吨产品原料消耗指标：是参考合成、提取和发酵三种不同的原料药制备方式的多家企业数据均值予以确定的。</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生产取水量指标：是参考合成、提取和发酵三种不同的原料药制备方式的多家企业数据以及《制药工业水污染物排放标准》中相关数据予以确定。</w:t>
      </w:r>
    </w:p>
    <w:p w:rsidR="00D06F00" w:rsidRDefault="00D06F00" w:rsidP="00D06F00">
      <w:pPr>
        <w:autoSpaceDE w:val="0"/>
        <w:autoSpaceDN w:val="0"/>
        <w:adjustRightInd w:val="0"/>
        <w:spacing w:line="460" w:lineRule="exact"/>
        <w:ind w:firstLineChars="200" w:firstLine="480"/>
        <w:rPr>
          <w:rFonts w:ascii="Times New Roman" w:hAnsi="Times New Roman"/>
          <w:color w:val="FF0000"/>
          <w:kern w:val="0"/>
          <w:sz w:val="24"/>
          <w:szCs w:val="24"/>
        </w:rPr>
      </w:pPr>
      <w:r>
        <w:rPr>
          <w:rFonts w:ascii="Times New Roman" w:hAnsi="Times New Roman" w:hint="eastAsia"/>
          <w:kern w:val="0"/>
          <w:sz w:val="24"/>
          <w:szCs w:val="24"/>
        </w:rPr>
        <w:t>综合能耗指标：是参考合成、提取和发酵三种不同的原料药制备方式的多家企业数据均值予以确定的。</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6</w:t>
      </w:r>
      <w:r>
        <w:rPr>
          <w:rFonts w:ascii="Times New Roman" w:hAnsi="Times New Roman" w:hint="eastAsia"/>
          <w:kern w:val="0"/>
          <w:sz w:val="24"/>
          <w:szCs w:val="24"/>
        </w:rPr>
        <w:t>）生产技术与产品特征类二级指标内容的确定</w:t>
      </w:r>
    </w:p>
    <w:p w:rsidR="00D06F00" w:rsidRDefault="00D06F00" w:rsidP="00D06F00">
      <w:pPr>
        <w:autoSpaceDE w:val="0"/>
        <w:autoSpaceDN w:val="0"/>
        <w:adjustRightInd w:val="0"/>
        <w:spacing w:line="460" w:lineRule="exact"/>
        <w:ind w:firstLineChars="200" w:firstLine="480"/>
        <w:rPr>
          <w:rFonts w:ascii="Times New Roman" w:hAnsi="Times New Roman"/>
          <w:color w:val="FF0000"/>
          <w:kern w:val="0"/>
          <w:sz w:val="24"/>
          <w:szCs w:val="24"/>
        </w:rPr>
      </w:pPr>
      <w:r>
        <w:rPr>
          <w:rFonts w:ascii="Times New Roman" w:hAnsi="Times New Roman" w:hint="eastAsia"/>
          <w:kern w:val="0"/>
          <w:sz w:val="24"/>
          <w:szCs w:val="24"/>
        </w:rPr>
        <w:t>生产技术与产品特征类二级指标共有</w:t>
      </w:r>
      <w:r>
        <w:rPr>
          <w:rFonts w:ascii="Times New Roman" w:hAnsi="Times New Roman"/>
          <w:kern w:val="0"/>
          <w:sz w:val="24"/>
          <w:szCs w:val="24"/>
        </w:rPr>
        <w:t>5</w:t>
      </w:r>
      <w:r>
        <w:rPr>
          <w:rFonts w:ascii="Times New Roman" w:hAnsi="Times New Roman" w:hint="eastAsia"/>
          <w:kern w:val="0"/>
          <w:sz w:val="24"/>
          <w:szCs w:val="24"/>
        </w:rPr>
        <w:t>项。分别为：合成反应步数，精制收率，产品有毒有害成分含量，目标产物提取收率，发酵时间。指标内容确定方法如下：</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合成反应步数指标：本指标为化学合成法制备原料药的专</w:t>
      </w:r>
      <w:proofErr w:type="gramStart"/>
      <w:r>
        <w:rPr>
          <w:rFonts w:ascii="Times New Roman" w:hAnsi="Times New Roman" w:hint="eastAsia"/>
          <w:kern w:val="0"/>
          <w:sz w:val="24"/>
          <w:szCs w:val="24"/>
        </w:rPr>
        <w:t>属评价</w:t>
      </w:r>
      <w:proofErr w:type="gramEnd"/>
      <w:r>
        <w:rPr>
          <w:rFonts w:ascii="Times New Roman" w:hAnsi="Times New Roman" w:hint="eastAsia"/>
          <w:kern w:val="0"/>
          <w:sz w:val="24"/>
          <w:szCs w:val="24"/>
        </w:rPr>
        <w:t>指标。是参考</w:t>
      </w:r>
      <w:r>
        <w:rPr>
          <w:rFonts w:ascii="Times New Roman" w:hAnsi="Times New Roman" w:hint="eastAsia"/>
          <w:kern w:val="0"/>
          <w:sz w:val="24"/>
          <w:szCs w:val="24"/>
        </w:rPr>
        <w:lastRenderedPageBreak/>
        <w:t>多家原料药合成企业不同原料药合成反应步数的中位值予以确定的。</w:t>
      </w:r>
    </w:p>
    <w:p w:rsidR="00D06F00" w:rsidRDefault="00D06F00" w:rsidP="00D06F00">
      <w:pPr>
        <w:autoSpaceDE w:val="0"/>
        <w:autoSpaceDN w:val="0"/>
        <w:adjustRightInd w:val="0"/>
        <w:spacing w:line="460" w:lineRule="exact"/>
        <w:ind w:firstLineChars="200" w:firstLine="480"/>
        <w:rPr>
          <w:rFonts w:ascii="Times New Roman" w:hAnsi="Times New Roman"/>
          <w:color w:val="FF0000"/>
          <w:kern w:val="0"/>
          <w:sz w:val="24"/>
          <w:szCs w:val="24"/>
        </w:rPr>
      </w:pPr>
      <w:r>
        <w:rPr>
          <w:rFonts w:ascii="Times New Roman" w:hAnsi="Times New Roman" w:hint="eastAsia"/>
          <w:kern w:val="0"/>
          <w:sz w:val="24"/>
          <w:szCs w:val="24"/>
        </w:rPr>
        <w:t>目标产物提取收率指标：本指标为动、植物提取法制备原料药的专</w:t>
      </w:r>
      <w:proofErr w:type="gramStart"/>
      <w:r>
        <w:rPr>
          <w:rFonts w:ascii="Times New Roman" w:hAnsi="Times New Roman" w:hint="eastAsia"/>
          <w:kern w:val="0"/>
          <w:sz w:val="24"/>
          <w:szCs w:val="24"/>
        </w:rPr>
        <w:t>属评价</w:t>
      </w:r>
      <w:proofErr w:type="gramEnd"/>
      <w:r>
        <w:rPr>
          <w:rFonts w:ascii="Times New Roman" w:hAnsi="Times New Roman" w:hint="eastAsia"/>
          <w:kern w:val="0"/>
          <w:sz w:val="24"/>
          <w:szCs w:val="24"/>
        </w:rPr>
        <w:t>指标。是参考多家原料药提取企业不同原料药提取物提取收率的中位值予以确定的。</w:t>
      </w:r>
    </w:p>
    <w:p w:rsidR="00D06F00" w:rsidRDefault="00D06F00" w:rsidP="00D06F00">
      <w:pPr>
        <w:autoSpaceDE w:val="0"/>
        <w:autoSpaceDN w:val="0"/>
        <w:adjustRightInd w:val="0"/>
        <w:spacing w:line="460" w:lineRule="exact"/>
        <w:ind w:firstLineChars="200" w:firstLine="480"/>
        <w:rPr>
          <w:rFonts w:ascii="Times New Roman" w:hAnsi="Times New Roman"/>
          <w:color w:val="FF0000"/>
          <w:kern w:val="0"/>
          <w:sz w:val="24"/>
          <w:szCs w:val="24"/>
        </w:rPr>
      </w:pPr>
      <w:r>
        <w:rPr>
          <w:rFonts w:ascii="Times New Roman" w:hAnsi="Times New Roman" w:hint="eastAsia"/>
          <w:kern w:val="0"/>
          <w:sz w:val="24"/>
          <w:szCs w:val="24"/>
        </w:rPr>
        <w:t>发酵时间指标：本指标为微生物发酵法制备原料药的专</w:t>
      </w:r>
      <w:proofErr w:type="gramStart"/>
      <w:r>
        <w:rPr>
          <w:rFonts w:ascii="Times New Roman" w:hAnsi="Times New Roman" w:hint="eastAsia"/>
          <w:kern w:val="0"/>
          <w:sz w:val="24"/>
          <w:szCs w:val="24"/>
        </w:rPr>
        <w:t>属评价</w:t>
      </w:r>
      <w:proofErr w:type="gramEnd"/>
      <w:r>
        <w:rPr>
          <w:rFonts w:ascii="Times New Roman" w:hAnsi="Times New Roman" w:hint="eastAsia"/>
          <w:kern w:val="0"/>
          <w:sz w:val="24"/>
          <w:szCs w:val="24"/>
        </w:rPr>
        <w:t>指标。是参考《发酵行业清洁生产评价指标体系（试行）》及多家原料药发酵企业不同原料药发酵时间的中位值予以确定的。</w:t>
      </w:r>
    </w:p>
    <w:p w:rsidR="00D06F00" w:rsidRDefault="00D06F00" w:rsidP="00D06F00">
      <w:pPr>
        <w:autoSpaceDE w:val="0"/>
        <w:autoSpaceDN w:val="0"/>
        <w:adjustRightInd w:val="0"/>
        <w:spacing w:line="460" w:lineRule="exact"/>
        <w:ind w:firstLineChars="200" w:firstLine="480"/>
        <w:rPr>
          <w:rFonts w:ascii="Times New Roman" w:hAnsi="Times New Roman"/>
          <w:color w:val="FF0000"/>
          <w:kern w:val="0"/>
          <w:sz w:val="24"/>
          <w:szCs w:val="24"/>
        </w:rPr>
      </w:pPr>
      <w:r>
        <w:rPr>
          <w:rFonts w:ascii="Times New Roman" w:hAnsi="Times New Roman" w:hint="eastAsia"/>
          <w:kern w:val="0"/>
          <w:sz w:val="24"/>
          <w:szCs w:val="24"/>
        </w:rPr>
        <w:t>精制收率指标：是参考合成、提取和发酵三种不同的原料药制备方式的多家企业数据均值予以确定的。</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产品有毒有害成分含量指标：是参考药品原料药生产质量管理要求予以确定的。</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7</w:t>
      </w:r>
      <w:r>
        <w:rPr>
          <w:rFonts w:ascii="Times New Roman" w:hAnsi="Times New Roman" w:hint="eastAsia"/>
          <w:kern w:val="0"/>
          <w:sz w:val="24"/>
          <w:szCs w:val="24"/>
        </w:rPr>
        <w:t>）资源综合利用类二级指标内容的确定</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资源综合利用类二级指标共</w:t>
      </w:r>
      <w:r>
        <w:rPr>
          <w:rFonts w:ascii="Times New Roman" w:hAnsi="Times New Roman"/>
          <w:kern w:val="0"/>
          <w:sz w:val="24"/>
          <w:szCs w:val="24"/>
        </w:rPr>
        <w:t>9</w:t>
      </w:r>
      <w:r>
        <w:rPr>
          <w:rFonts w:ascii="Times New Roman" w:hAnsi="Times New Roman" w:hint="eastAsia"/>
          <w:kern w:val="0"/>
          <w:sz w:val="24"/>
          <w:szCs w:val="24"/>
        </w:rPr>
        <w:t>项。分别为：副产物利用率，试剂、溶剂重复利用率，提取溶剂回收利用率，固体药渣综合利用率，原料、菌体渣生产</w:t>
      </w:r>
      <w:proofErr w:type="gramStart"/>
      <w:r>
        <w:rPr>
          <w:rFonts w:ascii="Times New Roman" w:hAnsi="Times New Roman" w:hint="eastAsia"/>
          <w:kern w:val="0"/>
          <w:sz w:val="24"/>
          <w:szCs w:val="24"/>
        </w:rPr>
        <w:t>饲</w:t>
      </w:r>
      <w:proofErr w:type="gramEnd"/>
      <w:r>
        <w:rPr>
          <w:rFonts w:ascii="Times New Roman" w:hAnsi="Times New Roman" w:hint="eastAsia"/>
          <w:kern w:val="0"/>
          <w:sz w:val="24"/>
          <w:szCs w:val="24"/>
        </w:rPr>
        <w:t>肥料率，发酵废液可利用物质回收率，冷却水重复利用率，产品包装可再生或降解率，锅炉灰渣综合利用率。具体确定方法如下：</w:t>
      </w:r>
    </w:p>
    <w:p w:rsidR="00D06F00" w:rsidRDefault="00D06F00" w:rsidP="00D06F00">
      <w:pPr>
        <w:autoSpaceDE w:val="0"/>
        <w:autoSpaceDN w:val="0"/>
        <w:adjustRightInd w:val="0"/>
        <w:spacing w:line="460" w:lineRule="exact"/>
        <w:ind w:firstLineChars="200" w:firstLine="480"/>
        <w:rPr>
          <w:rFonts w:ascii="Times New Roman" w:hAnsi="Times New Roman"/>
          <w:color w:val="FF0000"/>
          <w:kern w:val="0"/>
          <w:sz w:val="24"/>
          <w:szCs w:val="24"/>
        </w:rPr>
      </w:pPr>
      <w:r>
        <w:rPr>
          <w:rFonts w:ascii="Times New Roman" w:hAnsi="Times New Roman" w:hint="eastAsia"/>
          <w:kern w:val="0"/>
          <w:sz w:val="24"/>
          <w:szCs w:val="24"/>
        </w:rPr>
        <w:t>副产物利用率指标：本指标为化学合成法制备原料药的专</w:t>
      </w:r>
      <w:proofErr w:type="gramStart"/>
      <w:r>
        <w:rPr>
          <w:rFonts w:ascii="Times New Roman" w:hAnsi="Times New Roman" w:hint="eastAsia"/>
          <w:kern w:val="0"/>
          <w:sz w:val="24"/>
          <w:szCs w:val="24"/>
        </w:rPr>
        <w:t>属评价</w:t>
      </w:r>
      <w:proofErr w:type="gramEnd"/>
      <w:r>
        <w:rPr>
          <w:rFonts w:ascii="Times New Roman" w:hAnsi="Times New Roman" w:hint="eastAsia"/>
          <w:kern w:val="0"/>
          <w:sz w:val="24"/>
          <w:szCs w:val="24"/>
        </w:rPr>
        <w:t>指标。是参考行业生产工艺特点、经营规范条件和环境保护部相关清洁生产导向性要求予以确定。</w:t>
      </w:r>
    </w:p>
    <w:p w:rsidR="00D06F00" w:rsidRDefault="00D06F00" w:rsidP="00D06F00">
      <w:pPr>
        <w:autoSpaceDE w:val="0"/>
        <w:autoSpaceDN w:val="0"/>
        <w:adjustRightInd w:val="0"/>
        <w:spacing w:line="460" w:lineRule="exact"/>
        <w:ind w:firstLineChars="200" w:firstLine="480"/>
        <w:rPr>
          <w:rFonts w:ascii="Times New Roman" w:hAnsi="Times New Roman"/>
          <w:color w:val="FF0000"/>
          <w:kern w:val="0"/>
          <w:sz w:val="24"/>
          <w:szCs w:val="24"/>
        </w:rPr>
      </w:pPr>
      <w:r>
        <w:rPr>
          <w:rFonts w:ascii="Times New Roman" w:hAnsi="Times New Roman" w:hint="eastAsia"/>
          <w:kern w:val="0"/>
          <w:sz w:val="24"/>
          <w:szCs w:val="24"/>
        </w:rPr>
        <w:t>试剂、溶剂重复利用率指标：本指标为化学合成法制备原料药的专</w:t>
      </w:r>
      <w:proofErr w:type="gramStart"/>
      <w:r>
        <w:rPr>
          <w:rFonts w:ascii="Times New Roman" w:hAnsi="Times New Roman" w:hint="eastAsia"/>
          <w:kern w:val="0"/>
          <w:sz w:val="24"/>
          <w:szCs w:val="24"/>
        </w:rPr>
        <w:t>属评价</w:t>
      </w:r>
      <w:proofErr w:type="gramEnd"/>
      <w:r>
        <w:rPr>
          <w:rFonts w:ascii="Times New Roman" w:hAnsi="Times New Roman" w:hint="eastAsia"/>
          <w:kern w:val="0"/>
          <w:sz w:val="24"/>
          <w:szCs w:val="24"/>
        </w:rPr>
        <w:t>指标。是参考行业生产工艺特点、经营规范条件和环境保护部相关清洁生产导向性要求予以确定。</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提取溶剂回收利用率指标：本指标为动、植物提取法制备原料药的专</w:t>
      </w:r>
      <w:proofErr w:type="gramStart"/>
      <w:r>
        <w:rPr>
          <w:rFonts w:ascii="Times New Roman" w:hAnsi="Times New Roman" w:hint="eastAsia"/>
          <w:kern w:val="0"/>
          <w:sz w:val="24"/>
          <w:szCs w:val="24"/>
        </w:rPr>
        <w:t>属评价</w:t>
      </w:r>
      <w:proofErr w:type="gramEnd"/>
      <w:r>
        <w:rPr>
          <w:rFonts w:ascii="Times New Roman" w:hAnsi="Times New Roman" w:hint="eastAsia"/>
          <w:kern w:val="0"/>
          <w:sz w:val="24"/>
          <w:szCs w:val="24"/>
        </w:rPr>
        <w:t>指标。是参考行业生产工艺特点、经营规范条件和环境保护部相关清洁生产导向性要求予以确定。</w:t>
      </w:r>
    </w:p>
    <w:p w:rsidR="00D06F00" w:rsidRDefault="00D06F00" w:rsidP="00D06F00">
      <w:pPr>
        <w:autoSpaceDE w:val="0"/>
        <w:autoSpaceDN w:val="0"/>
        <w:adjustRightInd w:val="0"/>
        <w:spacing w:line="460" w:lineRule="exact"/>
        <w:ind w:firstLineChars="200" w:firstLine="480"/>
        <w:rPr>
          <w:rFonts w:ascii="Times New Roman" w:hAnsi="Times New Roman"/>
          <w:color w:val="FF0000"/>
          <w:kern w:val="0"/>
          <w:sz w:val="24"/>
          <w:szCs w:val="24"/>
        </w:rPr>
      </w:pPr>
      <w:r>
        <w:rPr>
          <w:rFonts w:ascii="Times New Roman" w:hAnsi="Times New Roman" w:hint="eastAsia"/>
          <w:kern w:val="0"/>
          <w:sz w:val="24"/>
          <w:szCs w:val="24"/>
        </w:rPr>
        <w:t>固体药渣综合利用率指标：本指标为动、植物提取法制备原料药的专</w:t>
      </w:r>
      <w:proofErr w:type="gramStart"/>
      <w:r>
        <w:rPr>
          <w:rFonts w:ascii="Times New Roman" w:hAnsi="Times New Roman" w:hint="eastAsia"/>
          <w:kern w:val="0"/>
          <w:sz w:val="24"/>
          <w:szCs w:val="24"/>
        </w:rPr>
        <w:t>属评价</w:t>
      </w:r>
      <w:proofErr w:type="gramEnd"/>
      <w:r>
        <w:rPr>
          <w:rFonts w:ascii="Times New Roman" w:hAnsi="Times New Roman" w:hint="eastAsia"/>
          <w:kern w:val="0"/>
          <w:sz w:val="24"/>
          <w:szCs w:val="24"/>
        </w:rPr>
        <w:t>指标。是依据《中华人民共和国循环经济促进法》和环境保护部相关清洁生产导向性要求予以确定</w:t>
      </w:r>
      <w:r>
        <w:rPr>
          <w:rFonts w:ascii="Times New Roman" w:hAnsi="Times New Roman" w:hint="eastAsia"/>
          <w:color w:val="FF0000"/>
          <w:kern w:val="0"/>
          <w:sz w:val="24"/>
          <w:szCs w:val="24"/>
        </w:rPr>
        <w:t>。</w:t>
      </w:r>
    </w:p>
    <w:p w:rsidR="00D06F00" w:rsidRDefault="00D06F00" w:rsidP="00D06F00">
      <w:pPr>
        <w:pStyle w:val="Default"/>
        <w:spacing w:line="460" w:lineRule="exact"/>
        <w:ind w:firstLineChars="200" w:firstLine="480"/>
        <w:rPr>
          <w:rFonts w:ascii="Times New Roman" w:hAnsi="Times New Roman" w:cs="Times New Roman"/>
          <w:color w:val="auto"/>
        </w:rPr>
      </w:pPr>
      <w:r>
        <w:rPr>
          <w:rFonts w:ascii="Times New Roman" w:hAnsi="Times New Roman" w:cs="Times New Roman" w:hint="eastAsia"/>
          <w:color w:val="auto"/>
        </w:rPr>
        <w:t>原料、菌体渣生产</w:t>
      </w:r>
      <w:proofErr w:type="gramStart"/>
      <w:r>
        <w:rPr>
          <w:rFonts w:ascii="Times New Roman" w:hAnsi="Times New Roman" w:cs="Times New Roman" w:hint="eastAsia"/>
          <w:color w:val="auto"/>
        </w:rPr>
        <w:t>饲</w:t>
      </w:r>
      <w:proofErr w:type="gramEnd"/>
      <w:r>
        <w:rPr>
          <w:rFonts w:ascii="Times New Roman" w:hAnsi="Times New Roman" w:cs="Times New Roman" w:hint="eastAsia"/>
          <w:color w:val="auto"/>
        </w:rPr>
        <w:t>肥料率指标：本指标为微生物发酵法制备原料药的专</w:t>
      </w:r>
      <w:proofErr w:type="gramStart"/>
      <w:r>
        <w:rPr>
          <w:rFonts w:ascii="Times New Roman" w:hAnsi="Times New Roman" w:cs="Times New Roman" w:hint="eastAsia"/>
          <w:color w:val="auto"/>
        </w:rPr>
        <w:t>属评价</w:t>
      </w:r>
      <w:proofErr w:type="gramEnd"/>
      <w:r>
        <w:rPr>
          <w:rFonts w:ascii="Times New Roman" w:hAnsi="Times New Roman" w:cs="Times New Roman" w:hint="eastAsia"/>
          <w:color w:val="auto"/>
        </w:rPr>
        <w:t>指标。</w:t>
      </w:r>
      <w:r>
        <w:rPr>
          <w:rFonts w:ascii="Times New Roman" w:hAnsi="Times New Roman" w:cs="Times New Roman" w:hint="eastAsia"/>
        </w:rPr>
        <w:t>是参考《</w:t>
      </w:r>
      <w:r>
        <w:rPr>
          <w:rFonts w:ascii="Times New Roman" w:hAnsi="Times New Roman" w:cs="Times New Roman" w:hint="eastAsia"/>
          <w:color w:val="auto"/>
        </w:rPr>
        <w:t>发酵行业清洁生产评价指标体系（试行）</w:t>
      </w:r>
      <w:r>
        <w:rPr>
          <w:rFonts w:ascii="Times New Roman" w:hAnsi="Times New Roman" w:cs="Times New Roman" w:hint="eastAsia"/>
        </w:rPr>
        <w:t>》并结合药品生产管理予以确定。</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发酵废液可利用物质回收率指标：本指标为微生物发酵法制备原料药的专</w:t>
      </w:r>
      <w:proofErr w:type="gramStart"/>
      <w:r>
        <w:rPr>
          <w:rFonts w:ascii="Times New Roman" w:hAnsi="Times New Roman" w:hint="eastAsia"/>
          <w:kern w:val="0"/>
          <w:sz w:val="24"/>
          <w:szCs w:val="24"/>
        </w:rPr>
        <w:t>属评</w:t>
      </w:r>
      <w:r>
        <w:rPr>
          <w:rFonts w:ascii="Times New Roman" w:hAnsi="Times New Roman" w:hint="eastAsia"/>
          <w:kern w:val="0"/>
          <w:sz w:val="24"/>
          <w:szCs w:val="24"/>
        </w:rPr>
        <w:lastRenderedPageBreak/>
        <w:t>价</w:t>
      </w:r>
      <w:proofErr w:type="gramEnd"/>
      <w:r>
        <w:rPr>
          <w:rFonts w:ascii="Times New Roman" w:hAnsi="Times New Roman" w:hint="eastAsia"/>
          <w:kern w:val="0"/>
          <w:sz w:val="24"/>
          <w:szCs w:val="24"/>
        </w:rPr>
        <w:t>指标。是参考《发酵行业清洁生产评价指标体系（试行</w:t>
      </w:r>
      <w:r>
        <w:rPr>
          <w:rFonts w:ascii="Times New Roman" w:hAnsi="Times New Roman" w:hint="eastAsia"/>
          <w:color w:val="000000"/>
          <w:kern w:val="0"/>
          <w:sz w:val="24"/>
          <w:szCs w:val="24"/>
        </w:rPr>
        <w:t>）》并结合药品生产管理予以确定</w:t>
      </w:r>
      <w:r>
        <w:rPr>
          <w:rFonts w:ascii="Times New Roman" w:hAnsi="Times New Roman" w:hint="eastAsia"/>
        </w:rPr>
        <w:t>。</w:t>
      </w:r>
    </w:p>
    <w:p w:rsidR="00D06F00" w:rsidRDefault="00D06F00" w:rsidP="00D06F00">
      <w:pPr>
        <w:autoSpaceDE w:val="0"/>
        <w:autoSpaceDN w:val="0"/>
        <w:adjustRightInd w:val="0"/>
        <w:spacing w:line="460" w:lineRule="exact"/>
        <w:ind w:firstLineChars="200" w:firstLine="480"/>
        <w:rPr>
          <w:rFonts w:ascii="Times New Roman" w:hAnsi="Times New Roman"/>
          <w:color w:val="FF0000"/>
          <w:kern w:val="0"/>
          <w:sz w:val="24"/>
          <w:szCs w:val="24"/>
        </w:rPr>
      </w:pPr>
      <w:r>
        <w:rPr>
          <w:rFonts w:ascii="Times New Roman" w:hAnsi="Times New Roman" w:hint="eastAsia"/>
          <w:kern w:val="0"/>
          <w:sz w:val="24"/>
          <w:szCs w:val="24"/>
        </w:rPr>
        <w:t>冷却水重复利用率指标：是依据《中华人民共和国循环经济促进法》和环境保护部相关节能减排的要求予以确定。</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产品包装可再生或</w:t>
      </w:r>
      <w:proofErr w:type="gramStart"/>
      <w:r>
        <w:rPr>
          <w:rFonts w:ascii="Times New Roman" w:hAnsi="Times New Roman" w:hint="eastAsia"/>
          <w:kern w:val="0"/>
          <w:sz w:val="24"/>
          <w:szCs w:val="24"/>
        </w:rPr>
        <w:t>降解率</w:t>
      </w:r>
      <w:proofErr w:type="gramEnd"/>
      <w:r>
        <w:rPr>
          <w:rFonts w:ascii="Times New Roman" w:hAnsi="Times New Roman" w:hint="eastAsia"/>
          <w:kern w:val="0"/>
          <w:sz w:val="24"/>
          <w:szCs w:val="24"/>
        </w:rPr>
        <w:t>指标：是依据《中华人民共和国循环经济促进法》和环境保护部相关节能减排的要求予以确定。</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锅炉灰渣综合利用率指标：是依据《中华人民共和国循环经济促进法》和环境保护部相关节能减排的要求予以确定。</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8</w:t>
      </w:r>
      <w:r>
        <w:rPr>
          <w:rFonts w:ascii="Times New Roman" w:hAnsi="Times New Roman" w:hint="eastAsia"/>
          <w:kern w:val="0"/>
          <w:sz w:val="24"/>
          <w:szCs w:val="24"/>
        </w:rPr>
        <w:t>）污染物产</w:t>
      </w:r>
      <w:proofErr w:type="gramStart"/>
      <w:r>
        <w:rPr>
          <w:rFonts w:ascii="Times New Roman" w:hAnsi="Times New Roman" w:hint="eastAsia"/>
          <w:kern w:val="0"/>
          <w:sz w:val="24"/>
          <w:szCs w:val="24"/>
        </w:rPr>
        <w:t>生控制</w:t>
      </w:r>
      <w:proofErr w:type="gramEnd"/>
      <w:r>
        <w:rPr>
          <w:rFonts w:ascii="Times New Roman" w:hAnsi="Times New Roman" w:hint="eastAsia"/>
          <w:kern w:val="0"/>
          <w:sz w:val="24"/>
          <w:szCs w:val="24"/>
        </w:rPr>
        <w:t>类二级指标内容的确定</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污染物排放控制类二级指标共有</w:t>
      </w:r>
      <w:r>
        <w:rPr>
          <w:rFonts w:ascii="Times New Roman" w:hAnsi="Times New Roman"/>
          <w:kern w:val="0"/>
          <w:sz w:val="24"/>
          <w:szCs w:val="24"/>
        </w:rPr>
        <w:t>2</w:t>
      </w:r>
      <w:r>
        <w:rPr>
          <w:rFonts w:ascii="Times New Roman" w:hAnsi="Times New Roman" w:hint="eastAsia"/>
          <w:kern w:val="0"/>
          <w:sz w:val="24"/>
          <w:szCs w:val="24"/>
        </w:rPr>
        <w:t>项。分别为：固体废物产生量、综合废水产生量。具体确定方法是参考环境保护部新颁布的《制药工业水污染物排放标准》，并按照从严要求，适当提高标准限值后确定的。另外，参考了多家重点化学原料药企业相关统计数据验证其具备可操作性。</w:t>
      </w:r>
    </w:p>
    <w:p w:rsidR="00D06F00" w:rsidRDefault="00D06F00" w:rsidP="00822F4E">
      <w:pPr>
        <w:autoSpaceDE w:val="0"/>
        <w:autoSpaceDN w:val="0"/>
        <w:adjustRightInd w:val="0"/>
        <w:spacing w:line="360" w:lineRule="auto"/>
        <w:outlineLvl w:val="0"/>
        <w:rPr>
          <w:rFonts w:ascii="Times New Roman" w:hAnsi="Times New Roman"/>
          <w:kern w:val="0"/>
          <w:sz w:val="24"/>
          <w:szCs w:val="24"/>
        </w:rPr>
      </w:pPr>
      <w:bookmarkStart w:id="39" w:name="_Toc462317588"/>
      <w:bookmarkStart w:id="40" w:name="_Toc462317694"/>
      <w:r>
        <w:rPr>
          <w:rFonts w:ascii="Times New Roman" w:hAnsi="Times New Roman"/>
          <w:kern w:val="0"/>
          <w:sz w:val="24"/>
          <w:szCs w:val="24"/>
        </w:rPr>
        <w:t xml:space="preserve">9 </w:t>
      </w:r>
      <w:r>
        <w:rPr>
          <w:rFonts w:ascii="Times New Roman" w:hAnsi="Times New Roman" w:hint="eastAsia"/>
          <w:kern w:val="0"/>
          <w:sz w:val="24"/>
          <w:szCs w:val="24"/>
        </w:rPr>
        <w:t>指标体系实施的可行性分析</w:t>
      </w:r>
      <w:bookmarkEnd w:id="39"/>
      <w:bookmarkEnd w:id="40"/>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1</w:t>
      </w:r>
      <w:r>
        <w:rPr>
          <w:rFonts w:ascii="Times New Roman" w:hAnsi="Times New Roman" w:hint="eastAsia"/>
          <w:kern w:val="0"/>
          <w:sz w:val="24"/>
          <w:szCs w:val="24"/>
        </w:rPr>
        <w:t>）经济合理性</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本指标体系颁布后对推动化学原料药生产企业提高清洁生产水平将有积极的促进作用，通过推动化学原料药企业节能、降耗、减污、增效，进一步改善环境质量，提高经济效益。</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2</w:t>
      </w:r>
      <w:r>
        <w:rPr>
          <w:rFonts w:ascii="Times New Roman" w:hAnsi="Times New Roman" w:hint="eastAsia"/>
          <w:kern w:val="0"/>
          <w:sz w:val="24"/>
          <w:szCs w:val="24"/>
        </w:rPr>
        <w:t>）指标体系的可操作性</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本指标体系的提出是从清洁生产与环境保护的角度出发，以化学原料药生产为主线，兼顾了化学原料药生产全流程综合性指标和各生产分工序重点关键性指标，以便能够客观真实地反映化学原料药生产企业清洁生产水平。化学原料药企业评价指标体系定量、定性指标的确定参考了化学原料药产业发展相关政策、《产业结构调整指导目录》（</w:t>
      </w:r>
      <w:r>
        <w:rPr>
          <w:rFonts w:ascii="Times New Roman" w:hAnsi="Times New Roman"/>
          <w:kern w:val="0"/>
          <w:sz w:val="24"/>
          <w:szCs w:val="24"/>
        </w:rPr>
        <w:t>2011</w:t>
      </w:r>
      <w:r>
        <w:rPr>
          <w:rFonts w:ascii="Times New Roman" w:hAnsi="Times New Roman" w:hint="eastAsia"/>
          <w:kern w:val="0"/>
          <w:sz w:val="24"/>
          <w:szCs w:val="24"/>
        </w:rPr>
        <w:t>年）、《战略性新兴产业重点产品和服务指导目录》（</w:t>
      </w:r>
      <w:r>
        <w:rPr>
          <w:rFonts w:ascii="Times New Roman" w:hAnsi="Times New Roman"/>
          <w:kern w:val="0"/>
          <w:sz w:val="24"/>
          <w:szCs w:val="24"/>
        </w:rPr>
        <w:t>2013</w:t>
      </w:r>
      <w:r>
        <w:rPr>
          <w:rFonts w:ascii="Times New Roman" w:hAnsi="Times New Roman" w:hint="eastAsia"/>
          <w:kern w:val="0"/>
          <w:sz w:val="24"/>
          <w:szCs w:val="24"/>
        </w:rPr>
        <w:t>）、化学原料药环保指标统计数据、现行的化学原料药行业清洁生产标准及国内化学原料药企业实施成功的清洁生产技术和管理经验。因此，本指标体系在技术上是可行的。</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3</w:t>
      </w:r>
      <w:r>
        <w:rPr>
          <w:rFonts w:ascii="Times New Roman" w:hAnsi="Times New Roman" w:hint="eastAsia"/>
          <w:kern w:val="0"/>
          <w:sz w:val="24"/>
          <w:szCs w:val="24"/>
        </w:rPr>
        <w:t>）对化学原料药生产企业节能、降耗、减污、增效的推动</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本指标体系针对企业化学原料药生产过程提出了定量与定性的清洁生产要求，</w:t>
      </w:r>
      <w:r>
        <w:rPr>
          <w:rFonts w:ascii="Times New Roman" w:hAnsi="Times New Roman" w:hint="eastAsia"/>
          <w:kern w:val="0"/>
          <w:sz w:val="24"/>
          <w:szCs w:val="24"/>
        </w:rPr>
        <w:lastRenderedPageBreak/>
        <w:t>本指标体系所提出的清洁生产指标基准值、清洁生产工艺技术装备以及环保与清洁生产管理要求，均来自化学原料药企业的生产实践，并被实践证明是行之有效的成功经验。本指标体系的出台必将推动化学原料药企业提升化学原料药生产工艺技术装备水平、减少资源与能源消耗、减少污染物的产生与排放、提高产品合格率和成材率，促进资源综合利用与循环利用，改进和完善环保与清洁生产管理，提升化学原料药企业清洁生产水平，促进化学原料药企业的可持续发展。</w:t>
      </w:r>
    </w:p>
    <w:p w:rsidR="00D06F00" w:rsidRDefault="00D06F00" w:rsidP="00822F4E">
      <w:pPr>
        <w:autoSpaceDE w:val="0"/>
        <w:autoSpaceDN w:val="0"/>
        <w:adjustRightInd w:val="0"/>
        <w:spacing w:line="360" w:lineRule="auto"/>
        <w:outlineLvl w:val="0"/>
        <w:rPr>
          <w:rFonts w:ascii="Times New Roman" w:hAnsi="Times New Roman"/>
          <w:kern w:val="0"/>
          <w:sz w:val="24"/>
          <w:szCs w:val="24"/>
        </w:rPr>
      </w:pPr>
      <w:bookmarkStart w:id="41" w:name="_Toc462317589"/>
      <w:bookmarkStart w:id="42" w:name="_Toc462317695"/>
      <w:r>
        <w:rPr>
          <w:rFonts w:ascii="Times New Roman" w:hAnsi="Times New Roman"/>
          <w:kern w:val="0"/>
          <w:sz w:val="24"/>
          <w:szCs w:val="24"/>
        </w:rPr>
        <w:t xml:space="preserve">10 </w:t>
      </w:r>
      <w:r>
        <w:rPr>
          <w:rFonts w:ascii="Times New Roman" w:hAnsi="Times New Roman" w:hint="eastAsia"/>
          <w:kern w:val="0"/>
          <w:sz w:val="24"/>
          <w:szCs w:val="24"/>
        </w:rPr>
        <w:t>指标体系实施的节能减</w:t>
      </w:r>
      <w:proofErr w:type="gramStart"/>
      <w:r>
        <w:rPr>
          <w:rFonts w:ascii="Times New Roman" w:hAnsi="Times New Roman" w:hint="eastAsia"/>
          <w:kern w:val="0"/>
          <w:sz w:val="24"/>
          <w:szCs w:val="24"/>
        </w:rPr>
        <w:t>排潜力</w:t>
      </w:r>
      <w:proofErr w:type="gramEnd"/>
      <w:r>
        <w:rPr>
          <w:rFonts w:ascii="Times New Roman" w:hAnsi="Times New Roman" w:hint="eastAsia"/>
          <w:kern w:val="0"/>
          <w:sz w:val="24"/>
          <w:szCs w:val="24"/>
        </w:rPr>
        <w:t>分析</w:t>
      </w:r>
      <w:bookmarkEnd w:id="41"/>
      <w:bookmarkEnd w:id="42"/>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1</w:t>
      </w:r>
      <w:r>
        <w:rPr>
          <w:rFonts w:ascii="Times New Roman" w:hAnsi="Times New Roman" w:hint="eastAsia"/>
          <w:kern w:val="0"/>
          <w:sz w:val="24"/>
          <w:szCs w:val="24"/>
        </w:rPr>
        <w:t>）生产工艺技术装备的改进</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本指标体系参照国家化学原料药产业发展相关政策、《产业结构调整指导目录》（</w:t>
      </w:r>
      <w:r>
        <w:rPr>
          <w:rFonts w:ascii="Times New Roman" w:hAnsi="Times New Roman"/>
          <w:kern w:val="0"/>
          <w:sz w:val="24"/>
          <w:szCs w:val="24"/>
        </w:rPr>
        <w:t>2011</w:t>
      </w:r>
      <w:r>
        <w:rPr>
          <w:rFonts w:ascii="Times New Roman" w:hAnsi="Times New Roman" w:hint="eastAsia"/>
          <w:kern w:val="0"/>
          <w:sz w:val="24"/>
          <w:szCs w:val="24"/>
        </w:rPr>
        <w:t>年）、《战略性新兴产业重点产品和服务指导目录》（</w:t>
      </w:r>
      <w:r>
        <w:rPr>
          <w:rFonts w:ascii="Times New Roman" w:hAnsi="Times New Roman"/>
          <w:kern w:val="0"/>
          <w:sz w:val="24"/>
          <w:szCs w:val="24"/>
        </w:rPr>
        <w:t>2013</w:t>
      </w:r>
      <w:r>
        <w:rPr>
          <w:rFonts w:ascii="Times New Roman" w:hAnsi="Times New Roman" w:hint="eastAsia"/>
          <w:kern w:val="0"/>
          <w:sz w:val="24"/>
          <w:szCs w:val="24"/>
        </w:rPr>
        <w:t>）、国内外化学原料药行业生产工艺装备未来发展趋势，按照</w:t>
      </w:r>
      <w:r>
        <w:rPr>
          <w:rFonts w:ascii="Times New Roman" w:hAnsi="Times New Roman"/>
          <w:kern w:val="0"/>
          <w:sz w:val="24"/>
          <w:szCs w:val="24"/>
        </w:rPr>
        <w:t>“</w:t>
      </w:r>
      <w:r>
        <w:rPr>
          <w:rFonts w:ascii="Times New Roman" w:hAnsi="Times New Roman" w:hint="eastAsia"/>
          <w:kern w:val="0"/>
          <w:sz w:val="24"/>
          <w:szCs w:val="24"/>
        </w:rPr>
        <w:t>化学原料药生产工艺装备自动化、信息化、智能化、高效化、节能与环保</w:t>
      </w:r>
      <w:r>
        <w:rPr>
          <w:rFonts w:ascii="Times New Roman" w:hAnsi="Times New Roman"/>
          <w:kern w:val="0"/>
          <w:sz w:val="24"/>
          <w:szCs w:val="24"/>
        </w:rPr>
        <w:t>”</w:t>
      </w:r>
      <w:r>
        <w:rPr>
          <w:rFonts w:ascii="Times New Roman" w:hAnsi="Times New Roman" w:hint="eastAsia"/>
          <w:kern w:val="0"/>
          <w:sz w:val="24"/>
          <w:szCs w:val="24"/>
        </w:rPr>
        <w:t>等未来发展主要趋势提出了适合我国化学原料药行业的清洁生产定量与定性指标内容，将有助于我国化学原料药企业提升化学原料药生产工艺技术装备水平，从化学原料药生产硬件建设上为节能减排奠定了基础。</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2</w:t>
      </w:r>
      <w:r>
        <w:rPr>
          <w:rFonts w:ascii="Times New Roman" w:hAnsi="Times New Roman" w:hint="eastAsia"/>
          <w:kern w:val="0"/>
          <w:sz w:val="24"/>
          <w:szCs w:val="24"/>
        </w:rPr>
        <w:t>）清洁生产技术的应用</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本指标体系根据化学原料药产业发展相关政策、《产业结构调整指导目录》（</w:t>
      </w:r>
      <w:r>
        <w:rPr>
          <w:rFonts w:ascii="Times New Roman" w:hAnsi="Times New Roman"/>
          <w:kern w:val="0"/>
          <w:sz w:val="24"/>
          <w:szCs w:val="24"/>
        </w:rPr>
        <w:t>2011</w:t>
      </w:r>
      <w:r>
        <w:rPr>
          <w:rFonts w:ascii="Times New Roman" w:hAnsi="Times New Roman" w:hint="eastAsia"/>
          <w:kern w:val="0"/>
          <w:sz w:val="24"/>
          <w:szCs w:val="24"/>
        </w:rPr>
        <w:t>年）、《清洁生产技术导向目录》等对化学原料药生产提出了应用相关清洁生产技术的要求，这些清洁生产技术已经被国内外化学原料药企业生产实践证明是行之有效的技术，这些技术在化学原料药企业推广普及后将会带来显著的节能减排效果，将有助于企业提高经济效益和环境效益。</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w:t>
      </w:r>
      <w:r>
        <w:rPr>
          <w:rFonts w:ascii="Times New Roman" w:hAnsi="Times New Roman"/>
          <w:kern w:val="0"/>
          <w:sz w:val="24"/>
          <w:szCs w:val="24"/>
        </w:rPr>
        <w:t>3</w:t>
      </w:r>
      <w:r>
        <w:rPr>
          <w:rFonts w:ascii="Times New Roman" w:hAnsi="Times New Roman" w:hint="eastAsia"/>
          <w:kern w:val="0"/>
          <w:sz w:val="24"/>
          <w:szCs w:val="24"/>
        </w:rPr>
        <w:t>）完善企业清洁生产组织管理</w:t>
      </w:r>
    </w:p>
    <w:p w:rsidR="00D06F00" w:rsidRDefault="00D06F00" w:rsidP="00D06F00">
      <w:pPr>
        <w:autoSpaceDE w:val="0"/>
        <w:autoSpaceDN w:val="0"/>
        <w:adjustRightInd w:val="0"/>
        <w:spacing w:line="460" w:lineRule="exact"/>
        <w:ind w:firstLineChars="200" w:firstLine="480"/>
        <w:rPr>
          <w:rFonts w:ascii="Times New Roman" w:hAnsi="Times New Roman"/>
          <w:kern w:val="0"/>
          <w:sz w:val="24"/>
          <w:szCs w:val="24"/>
        </w:rPr>
      </w:pPr>
      <w:r>
        <w:rPr>
          <w:rFonts w:ascii="Times New Roman" w:hAnsi="Times New Roman" w:hint="eastAsia"/>
          <w:kern w:val="0"/>
          <w:sz w:val="24"/>
          <w:szCs w:val="24"/>
        </w:rPr>
        <w:t>我国大多数化学原料药企业实施清洁生产走的是生产工艺技术升级改造和技术进步的道路，并且也收到了节能、降耗、减污、增效的效果，但忽视了运用管理手段来全面地、系统地、自觉地对本企业化学原料药生产过程资源与能源消耗、污染物的产生和排放进行有效地控制，大多数化学原料药企业没有能够有效地建立起清洁生产领导机构和管理制度、清洁生产审核活动，需要政府推动，借助咨询机构来完成，而不能自主、自觉地开展清洁生产审核活动。为解决这一问题，本指标体系特别提出了在化学原料药生产企业建立清洁生产领导机构和管理</w:t>
      </w:r>
      <w:r>
        <w:rPr>
          <w:rFonts w:ascii="Times New Roman" w:hAnsi="Times New Roman"/>
          <w:kern w:val="0"/>
          <w:sz w:val="24"/>
          <w:szCs w:val="24"/>
        </w:rPr>
        <w:t>(</w:t>
      </w:r>
      <w:r>
        <w:rPr>
          <w:rFonts w:ascii="Times New Roman" w:hAnsi="Times New Roman" w:hint="eastAsia"/>
          <w:kern w:val="0"/>
          <w:sz w:val="24"/>
          <w:szCs w:val="24"/>
        </w:rPr>
        <w:t>奖励和考核</w:t>
      </w:r>
      <w:r>
        <w:rPr>
          <w:rFonts w:ascii="Times New Roman" w:hAnsi="Times New Roman"/>
          <w:kern w:val="0"/>
          <w:sz w:val="24"/>
          <w:szCs w:val="24"/>
        </w:rPr>
        <w:t>)</w:t>
      </w:r>
      <w:r>
        <w:rPr>
          <w:rFonts w:ascii="Times New Roman" w:hAnsi="Times New Roman" w:hint="eastAsia"/>
          <w:kern w:val="0"/>
          <w:sz w:val="24"/>
          <w:szCs w:val="24"/>
        </w:rPr>
        <w:t>制度，化学原料药生产企业应有清洁生产</w:t>
      </w:r>
      <w:r>
        <w:rPr>
          <w:rFonts w:ascii="Times New Roman" w:hAnsi="Times New Roman"/>
          <w:kern w:val="0"/>
          <w:sz w:val="24"/>
          <w:szCs w:val="24"/>
        </w:rPr>
        <w:t>5</w:t>
      </w:r>
      <w:r>
        <w:rPr>
          <w:rFonts w:ascii="Times New Roman" w:hAnsi="Times New Roman" w:hint="eastAsia"/>
          <w:kern w:val="0"/>
          <w:sz w:val="24"/>
          <w:szCs w:val="24"/>
        </w:rPr>
        <w:t>年规划和年度工作计划，建立完善清洁生产考核</w:t>
      </w:r>
      <w:r>
        <w:rPr>
          <w:rFonts w:ascii="Times New Roman" w:hAnsi="Times New Roman" w:hint="eastAsia"/>
          <w:kern w:val="0"/>
          <w:sz w:val="24"/>
          <w:szCs w:val="24"/>
        </w:rPr>
        <w:lastRenderedPageBreak/>
        <w:t>指标体系，定期开展清洁生产审核活动，从而推动化学原料药生产企业建立并形成清洁生产长效机制，使开展清洁生产活动成为企业自觉主动、持续有效的行为。</w:t>
      </w:r>
    </w:p>
    <w:p w:rsidR="00D06F00" w:rsidRPr="00A216E8" w:rsidRDefault="00D06F00" w:rsidP="00D06F00">
      <w:pPr>
        <w:autoSpaceDE w:val="0"/>
        <w:autoSpaceDN w:val="0"/>
        <w:adjustRightInd w:val="0"/>
        <w:spacing w:line="460" w:lineRule="exact"/>
        <w:ind w:firstLineChars="200" w:firstLine="480"/>
        <w:rPr>
          <w:rFonts w:ascii="Times New Roman" w:hAnsi="Times New Roman"/>
          <w:kern w:val="0"/>
          <w:sz w:val="24"/>
          <w:szCs w:val="24"/>
        </w:rPr>
      </w:pPr>
    </w:p>
    <w:p w:rsidR="006B42DC" w:rsidRPr="00D06F00" w:rsidRDefault="006B42DC"/>
    <w:sectPr w:rsidR="006B42DC" w:rsidRPr="00D06F00" w:rsidSect="00F91964">
      <w:pgSz w:w="11906" w:h="16838"/>
      <w:pgMar w:top="1928" w:right="1616" w:bottom="1474" w:left="1616" w:header="851" w:footer="1247" w:gutter="0"/>
      <w:pgNumType w:start="1"/>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A16" w:rsidRDefault="00250A16" w:rsidP="0026768C">
      <w:r>
        <w:separator/>
      </w:r>
    </w:p>
  </w:endnote>
  <w:endnote w:type="continuationSeparator" w:id="0">
    <w:p w:rsidR="00250A16" w:rsidRDefault="00250A16" w:rsidP="00267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6299779"/>
      <w:docPartObj>
        <w:docPartGallery w:val="Page Numbers (Bottom of Page)"/>
        <w:docPartUnique/>
      </w:docPartObj>
    </w:sdtPr>
    <w:sdtEndPr/>
    <w:sdtContent>
      <w:p w:rsidR="00822F4E" w:rsidRDefault="00EF3207" w:rsidP="00F91964">
        <w:pPr>
          <w:pStyle w:val="a5"/>
          <w:jc w:val="center"/>
        </w:pPr>
        <w:r>
          <w:fldChar w:fldCharType="begin"/>
        </w:r>
        <w:r w:rsidR="002D6992">
          <w:instrText>PAGE   \* MERGEFORMAT</w:instrText>
        </w:r>
        <w:r>
          <w:fldChar w:fldCharType="separate"/>
        </w:r>
        <w:r w:rsidR="00CB7EDE" w:rsidRPr="00CB7EDE">
          <w:rPr>
            <w:noProof/>
            <w:lang w:val="zh-CN"/>
          </w:rPr>
          <w:t>II</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A16" w:rsidRDefault="00250A16" w:rsidP="0026768C">
      <w:r>
        <w:separator/>
      </w:r>
    </w:p>
  </w:footnote>
  <w:footnote w:type="continuationSeparator" w:id="0">
    <w:p w:rsidR="00250A16" w:rsidRDefault="00250A16" w:rsidP="002676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06F00"/>
    <w:rsid w:val="00006A19"/>
    <w:rsid w:val="00026B4A"/>
    <w:rsid w:val="00027FD7"/>
    <w:rsid w:val="00044983"/>
    <w:rsid w:val="00053B27"/>
    <w:rsid w:val="00090833"/>
    <w:rsid w:val="000935D8"/>
    <w:rsid w:val="000A54E7"/>
    <w:rsid w:val="000C0E94"/>
    <w:rsid w:val="000C1663"/>
    <w:rsid w:val="000E12AE"/>
    <w:rsid w:val="000E1515"/>
    <w:rsid w:val="000E215A"/>
    <w:rsid w:val="00100651"/>
    <w:rsid w:val="00102132"/>
    <w:rsid w:val="001021D6"/>
    <w:rsid w:val="00154FC2"/>
    <w:rsid w:val="00162615"/>
    <w:rsid w:val="00162676"/>
    <w:rsid w:val="00180A1A"/>
    <w:rsid w:val="00193CB7"/>
    <w:rsid w:val="001A17F3"/>
    <w:rsid w:val="001A565B"/>
    <w:rsid w:val="001B0F95"/>
    <w:rsid w:val="001B654F"/>
    <w:rsid w:val="001E1D1A"/>
    <w:rsid w:val="001E395A"/>
    <w:rsid w:val="001F30AD"/>
    <w:rsid w:val="001F79C7"/>
    <w:rsid w:val="00205CF0"/>
    <w:rsid w:val="00205F4B"/>
    <w:rsid w:val="002172ED"/>
    <w:rsid w:val="00230F03"/>
    <w:rsid w:val="00235189"/>
    <w:rsid w:val="00237A0A"/>
    <w:rsid w:val="00250510"/>
    <w:rsid w:val="00250A16"/>
    <w:rsid w:val="00253BF3"/>
    <w:rsid w:val="00261027"/>
    <w:rsid w:val="00266213"/>
    <w:rsid w:val="0026723F"/>
    <w:rsid w:val="0026768C"/>
    <w:rsid w:val="002814A0"/>
    <w:rsid w:val="0029764F"/>
    <w:rsid w:val="002A286C"/>
    <w:rsid w:val="002A3479"/>
    <w:rsid w:val="002C2A48"/>
    <w:rsid w:val="002D6992"/>
    <w:rsid w:val="002D715B"/>
    <w:rsid w:val="002E00C2"/>
    <w:rsid w:val="002E19E2"/>
    <w:rsid w:val="00302CB0"/>
    <w:rsid w:val="003107E8"/>
    <w:rsid w:val="00326FEB"/>
    <w:rsid w:val="0033226E"/>
    <w:rsid w:val="00336815"/>
    <w:rsid w:val="00337187"/>
    <w:rsid w:val="00350DEB"/>
    <w:rsid w:val="00361238"/>
    <w:rsid w:val="0036686E"/>
    <w:rsid w:val="00373243"/>
    <w:rsid w:val="00374897"/>
    <w:rsid w:val="003B6911"/>
    <w:rsid w:val="003C5DF3"/>
    <w:rsid w:val="003E37B6"/>
    <w:rsid w:val="003F168A"/>
    <w:rsid w:val="00412AED"/>
    <w:rsid w:val="00422060"/>
    <w:rsid w:val="00431EB0"/>
    <w:rsid w:val="004418CE"/>
    <w:rsid w:val="00453AA4"/>
    <w:rsid w:val="00461871"/>
    <w:rsid w:val="00467BC6"/>
    <w:rsid w:val="004904CD"/>
    <w:rsid w:val="0049410E"/>
    <w:rsid w:val="004A28FE"/>
    <w:rsid w:val="004A5B26"/>
    <w:rsid w:val="004A70A0"/>
    <w:rsid w:val="004C6B26"/>
    <w:rsid w:val="004D5B5A"/>
    <w:rsid w:val="004E0FA8"/>
    <w:rsid w:val="004E355E"/>
    <w:rsid w:val="004E5562"/>
    <w:rsid w:val="00503235"/>
    <w:rsid w:val="00512CC2"/>
    <w:rsid w:val="00513934"/>
    <w:rsid w:val="00575525"/>
    <w:rsid w:val="00596184"/>
    <w:rsid w:val="005A6D0C"/>
    <w:rsid w:val="005B2164"/>
    <w:rsid w:val="005C0E7F"/>
    <w:rsid w:val="005C648F"/>
    <w:rsid w:val="005F06B3"/>
    <w:rsid w:val="005F357B"/>
    <w:rsid w:val="006060E9"/>
    <w:rsid w:val="00626C89"/>
    <w:rsid w:val="00626C8C"/>
    <w:rsid w:val="00626EFB"/>
    <w:rsid w:val="00627631"/>
    <w:rsid w:val="006301B6"/>
    <w:rsid w:val="00633FC2"/>
    <w:rsid w:val="00640AB9"/>
    <w:rsid w:val="00650AA8"/>
    <w:rsid w:val="0065245C"/>
    <w:rsid w:val="00664527"/>
    <w:rsid w:val="006647AB"/>
    <w:rsid w:val="00670262"/>
    <w:rsid w:val="00673598"/>
    <w:rsid w:val="00674C21"/>
    <w:rsid w:val="00680213"/>
    <w:rsid w:val="006917A9"/>
    <w:rsid w:val="006A1698"/>
    <w:rsid w:val="006B42DC"/>
    <w:rsid w:val="006C7BAA"/>
    <w:rsid w:val="006D29B6"/>
    <w:rsid w:val="006D6C70"/>
    <w:rsid w:val="006E25A5"/>
    <w:rsid w:val="006E2F35"/>
    <w:rsid w:val="006F3438"/>
    <w:rsid w:val="006F42E8"/>
    <w:rsid w:val="006F794D"/>
    <w:rsid w:val="007051B3"/>
    <w:rsid w:val="007233EF"/>
    <w:rsid w:val="00730F46"/>
    <w:rsid w:val="007470F6"/>
    <w:rsid w:val="007512F1"/>
    <w:rsid w:val="00754444"/>
    <w:rsid w:val="00767EFB"/>
    <w:rsid w:val="00774740"/>
    <w:rsid w:val="0077639D"/>
    <w:rsid w:val="0078304F"/>
    <w:rsid w:val="0078560F"/>
    <w:rsid w:val="007908C6"/>
    <w:rsid w:val="007B0366"/>
    <w:rsid w:val="007B0C80"/>
    <w:rsid w:val="007B7BF2"/>
    <w:rsid w:val="007F0D4E"/>
    <w:rsid w:val="00801FB8"/>
    <w:rsid w:val="00811524"/>
    <w:rsid w:val="0081654B"/>
    <w:rsid w:val="00822F4E"/>
    <w:rsid w:val="00830BCB"/>
    <w:rsid w:val="0084004C"/>
    <w:rsid w:val="008403F0"/>
    <w:rsid w:val="008451E2"/>
    <w:rsid w:val="00860F6D"/>
    <w:rsid w:val="008727C0"/>
    <w:rsid w:val="00875423"/>
    <w:rsid w:val="0089311E"/>
    <w:rsid w:val="00896AC5"/>
    <w:rsid w:val="008A03F6"/>
    <w:rsid w:val="008A1BAD"/>
    <w:rsid w:val="008D605E"/>
    <w:rsid w:val="008E6F4B"/>
    <w:rsid w:val="008F6AA4"/>
    <w:rsid w:val="009727FE"/>
    <w:rsid w:val="00983E31"/>
    <w:rsid w:val="0098424B"/>
    <w:rsid w:val="0099409C"/>
    <w:rsid w:val="00995A10"/>
    <w:rsid w:val="0099759B"/>
    <w:rsid w:val="009A4301"/>
    <w:rsid w:val="009B1914"/>
    <w:rsid w:val="009B76FA"/>
    <w:rsid w:val="009E18F7"/>
    <w:rsid w:val="009F1EB5"/>
    <w:rsid w:val="00A33388"/>
    <w:rsid w:val="00A33DEE"/>
    <w:rsid w:val="00A34075"/>
    <w:rsid w:val="00A462C3"/>
    <w:rsid w:val="00A501B6"/>
    <w:rsid w:val="00A52036"/>
    <w:rsid w:val="00A5293A"/>
    <w:rsid w:val="00A56E61"/>
    <w:rsid w:val="00A57BA5"/>
    <w:rsid w:val="00A677C4"/>
    <w:rsid w:val="00A74F2D"/>
    <w:rsid w:val="00AD5D63"/>
    <w:rsid w:val="00AE76B3"/>
    <w:rsid w:val="00B301BE"/>
    <w:rsid w:val="00B32CF6"/>
    <w:rsid w:val="00B3733C"/>
    <w:rsid w:val="00B37B12"/>
    <w:rsid w:val="00B46DE5"/>
    <w:rsid w:val="00B506CB"/>
    <w:rsid w:val="00B51692"/>
    <w:rsid w:val="00B64E4F"/>
    <w:rsid w:val="00B827D2"/>
    <w:rsid w:val="00B92BB1"/>
    <w:rsid w:val="00B9723D"/>
    <w:rsid w:val="00BC06B8"/>
    <w:rsid w:val="00BC233E"/>
    <w:rsid w:val="00BF1BB7"/>
    <w:rsid w:val="00BF2886"/>
    <w:rsid w:val="00BF6F94"/>
    <w:rsid w:val="00BF7C56"/>
    <w:rsid w:val="00C03248"/>
    <w:rsid w:val="00C0424E"/>
    <w:rsid w:val="00C05A57"/>
    <w:rsid w:val="00C1784A"/>
    <w:rsid w:val="00C3479E"/>
    <w:rsid w:val="00C419BB"/>
    <w:rsid w:val="00C72193"/>
    <w:rsid w:val="00C83EF2"/>
    <w:rsid w:val="00C914E8"/>
    <w:rsid w:val="00CA3FB9"/>
    <w:rsid w:val="00CA4C0D"/>
    <w:rsid w:val="00CA55DB"/>
    <w:rsid w:val="00CB7EDE"/>
    <w:rsid w:val="00CC552E"/>
    <w:rsid w:val="00CC5D7B"/>
    <w:rsid w:val="00CE22A6"/>
    <w:rsid w:val="00CF287E"/>
    <w:rsid w:val="00D06F00"/>
    <w:rsid w:val="00D14FE0"/>
    <w:rsid w:val="00D319F3"/>
    <w:rsid w:val="00D346DC"/>
    <w:rsid w:val="00D50453"/>
    <w:rsid w:val="00D67559"/>
    <w:rsid w:val="00D676C7"/>
    <w:rsid w:val="00D741A8"/>
    <w:rsid w:val="00D80BE3"/>
    <w:rsid w:val="00DB152D"/>
    <w:rsid w:val="00DB20D6"/>
    <w:rsid w:val="00DB35C2"/>
    <w:rsid w:val="00DD60BC"/>
    <w:rsid w:val="00DE5D08"/>
    <w:rsid w:val="00DF6524"/>
    <w:rsid w:val="00E03E15"/>
    <w:rsid w:val="00E05CD4"/>
    <w:rsid w:val="00E11575"/>
    <w:rsid w:val="00E20A7D"/>
    <w:rsid w:val="00E21041"/>
    <w:rsid w:val="00E33A6A"/>
    <w:rsid w:val="00E517FE"/>
    <w:rsid w:val="00E52739"/>
    <w:rsid w:val="00E67782"/>
    <w:rsid w:val="00E71BA7"/>
    <w:rsid w:val="00E8303F"/>
    <w:rsid w:val="00EA63BF"/>
    <w:rsid w:val="00EB530C"/>
    <w:rsid w:val="00EE19B9"/>
    <w:rsid w:val="00EE7654"/>
    <w:rsid w:val="00EF3207"/>
    <w:rsid w:val="00F04209"/>
    <w:rsid w:val="00F071B0"/>
    <w:rsid w:val="00F145C6"/>
    <w:rsid w:val="00F16041"/>
    <w:rsid w:val="00F314D4"/>
    <w:rsid w:val="00F342A3"/>
    <w:rsid w:val="00F5294A"/>
    <w:rsid w:val="00F60251"/>
    <w:rsid w:val="00F645B5"/>
    <w:rsid w:val="00F67E62"/>
    <w:rsid w:val="00F75EFB"/>
    <w:rsid w:val="00F91964"/>
    <w:rsid w:val="00F91D66"/>
    <w:rsid w:val="00F96DDC"/>
    <w:rsid w:val="00FA6909"/>
    <w:rsid w:val="00FD0604"/>
    <w:rsid w:val="00FF55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F00"/>
    <w:pPr>
      <w:widowControl w:val="0"/>
      <w:jc w:val="both"/>
    </w:pPr>
    <w:rPr>
      <w:rFonts w:ascii="Calibri" w:eastAsia="宋体" w:hAnsi="Calibri" w:cs="Times New Roman"/>
    </w:rPr>
  </w:style>
  <w:style w:type="paragraph" w:styleId="1">
    <w:name w:val="heading 1"/>
    <w:basedOn w:val="a"/>
    <w:next w:val="a"/>
    <w:link w:val="1Char"/>
    <w:uiPriority w:val="9"/>
    <w:qFormat/>
    <w:rsid w:val="00CA55D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06F00"/>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D06F0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D06F00"/>
    <w:rPr>
      <w:rFonts w:ascii="Cambria" w:eastAsia="宋体" w:hAnsi="Cambria" w:cs="Times New Roman"/>
      <w:b/>
      <w:bCs/>
      <w:sz w:val="32"/>
      <w:szCs w:val="32"/>
    </w:rPr>
  </w:style>
  <w:style w:type="character" w:customStyle="1" w:styleId="3Char">
    <w:name w:val="标题 3 Char"/>
    <w:basedOn w:val="a0"/>
    <w:link w:val="3"/>
    <w:uiPriority w:val="9"/>
    <w:rsid w:val="00D06F00"/>
    <w:rPr>
      <w:rFonts w:ascii="Calibri" w:eastAsia="宋体" w:hAnsi="Calibri" w:cs="Times New Roman"/>
      <w:b/>
      <w:bCs/>
      <w:sz w:val="32"/>
      <w:szCs w:val="32"/>
    </w:rPr>
  </w:style>
  <w:style w:type="paragraph" w:customStyle="1" w:styleId="Default">
    <w:name w:val="Default"/>
    <w:rsid w:val="00D06F00"/>
    <w:pPr>
      <w:widowControl w:val="0"/>
      <w:autoSpaceDE w:val="0"/>
      <w:autoSpaceDN w:val="0"/>
      <w:adjustRightInd w:val="0"/>
    </w:pPr>
    <w:rPr>
      <w:rFonts w:ascii="宋体" w:eastAsia="宋体" w:hAnsi="Calibri" w:cs="宋体"/>
      <w:color w:val="000000"/>
      <w:kern w:val="0"/>
      <w:sz w:val="24"/>
      <w:szCs w:val="24"/>
    </w:rPr>
  </w:style>
  <w:style w:type="paragraph" w:styleId="10">
    <w:name w:val="toc 1"/>
    <w:basedOn w:val="a"/>
    <w:next w:val="a"/>
    <w:autoRedefine/>
    <w:uiPriority w:val="39"/>
    <w:unhideWhenUsed/>
    <w:rsid w:val="00D06F00"/>
  </w:style>
  <w:style w:type="paragraph" w:styleId="20">
    <w:name w:val="toc 2"/>
    <w:basedOn w:val="a"/>
    <w:next w:val="a"/>
    <w:autoRedefine/>
    <w:uiPriority w:val="39"/>
    <w:unhideWhenUsed/>
    <w:rsid w:val="00D06F00"/>
    <w:pPr>
      <w:ind w:leftChars="200" w:left="420"/>
    </w:pPr>
  </w:style>
  <w:style w:type="character" w:styleId="a3">
    <w:name w:val="Hyperlink"/>
    <w:uiPriority w:val="99"/>
    <w:unhideWhenUsed/>
    <w:rsid w:val="00D06F00"/>
    <w:rPr>
      <w:color w:val="0000FF"/>
      <w:u w:val="single"/>
    </w:rPr>
  </w:style>
  <w:style w:type="paragraph" w:styleId="30">
    <w:name w:val="toc 3"/>
    <w:basedOn w:val="a"/>
    <w:next w:val="a"/>
    <w:autoRedefine/>
    <w:uiPriority w:val="39"/>
    <w:unhideWhenUsed/>
    <w:rsid w:val="00D06F00"/>
    <w:pPr>
      <w:ind w:leftChars="400" w:left="840"/>
    </w:pPr>
  </w:style>
  <w:style w:type="paragraph" w:styleId="a4">
    <w:name w:val="header"/>
    <w:basedOn w:val="a"/>
    <w:link w:val="Char"/>
    <w:uiPriority w:val="99"/>
    <w:unhideWhenUsed/>
    <w:rsid w:val="002676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6768C"/>
    <w:rPr>
      <w:rFonts w:ascii="Calibri" w:eastAsia="宋体" w:hAnsi="Calibri" w:cs="Times New Roman"/>
      <w:sz w:val="18"/>
      <w:szCs w:val="18"/>
    </w:rPr>
  </w:style>
  <w:style w:type="paragraph" w:styleId="a5">
    <w:name w:val="footer"/>
    <w:basedOn w:val="a"/>
    <w:link w:val="Char0"/>
    <w:uiPriority w:val="99"/>
    <w:unhideWhenUsed/>
    <w:rsid w:val="0026768C"/>
    <w:pPr>
      <w:tabs>
        <w:tab w:val="center" w:pos="4153"/>
        <w:tab w:val="right" w:pos="8306"/>
      </w:tabs>
      <w:snapToGrid w:val="0"/>
      <w:jc w:val="left"/>
    </w:pPr>
    <w:rPr>
      <w:sz w:val="18"/>
      <w:szCs w:val="18"/>
    </w:rPr>
  </w:style>
  <w:style w:type="character" w:customStyle="1" w:styleId="Char0">
    <w:name w:val="页脚 Char"/>
    <w:basedOn w:val="a0"/>
    <w:link w:val="a5"/>
    <w:uiPriority w:val="99"/>
    <w:rsid w:val="0026768C"/>
    <w:rPr>
      <w:rFonts w:ascii="Calibri" w:eastAsia="宋体" w:hAnsi="Calibri" w:cs="Times New Roman"/>
      <w:sz w:val="18"/>
      <w:szCs w:val="18"/>
    </w:rPr>
  </w:style>
  <w:style w:type="character" w:customStyle="1" w:styleId="1Char">
    <w:name w:val="标题 1 Char"/>
    <w:basedOn w:val="a0"/>
    <w:link w:val="1"/>
    <w:uiPriority w:val="9"/>
    <w:rsid w:val="00CA55DB"/>
    <w:rPr>
      <w:rFonts w:ascii="Calibri" w:eastAsia="宋体" w:hAnsi="Calibri" w:cs="Times New Roman"/>
      <w:b/>
      <w:bCs/>
      <w:kern w:val="44"/>
      <w:sz w:val="44"/>
      <w:szCs w:val="44"/>
    </w:rPr>
  </w:style>
  <w:style w:type="paragraph" w:styleId="TOC">
    <w:name w:val="TOC Heading"/>
    <w:basedOn w:val="1"/>
    <w:next w:val="a"/>
    <w:uiPriority w:val="39"/>
    <w:semiHidden/>
    <w:unhideWhenUsed/>
    <w:qFormat/>
    <w:rsid w:val="00CA55DB"/>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6">
    <w:name w:val="Balloon Text"/>
    <w:basedOn w:val="a"/>
    <w:link w:val="Char1"/>
    <w:uiPriority w:val="99"/>
    <w:semiHidden/>
    <w:unhideWhenUsed/>
    <w:rsid w:val="00CA55DB"/>
    <w:rPr>
      <w:sz w:val="18"/>
      <w:szCs w:val="18"/>
    </w:rPr>
  </w:style>
  <w:style w:type="character" w:customStyle="1" w:styleId="Char1">
    <w:name w:val="批注框文本 Char"/>
    <w:basedOn w:val="a0"/>
    <w:link w:val="a6"/>
    <w:uiPriority w:val="99"/>
    <w:semiHidden/>
    <w:rsid w:val="00CA55DB"/>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F00"/>
    <w:pPr>
      <w:widowControl w:val="0"/>
      <w:jc w:val="both"/>
    </w:pPr>
    <w:rPr>
      <w:rFonts w:ascii="Calibri" w:eastAsia="宋体" w:hAnsi="Calibri" w:cs="Times New Roman"/>
    </w:rPr>
  </w:style>
  <w:style w:type="paragraph" w:styleId="2">
    <w:name w:val="heading 2"/>
    <w:basedOn w:val="a"/>
    <w:next w:val="a"/>
    <w:link w:val="2Char"/>
    <w:uiPriority w:val="9"/>
    <w:unhideWhenUsed/>
    <w:qFormat/>
    <w:rsid w:val="00D06F00"/>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D06F0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D06F00"/>
    <w:rPr>
      <w:rFonts w:ascii="Cambria" w:eastAsia="宋体" w:hAnsi="Cambria" w:cs="Times New Roman"/>
      <w:b/>
      <w:bCs/>
      <w:sz w:val="32"/>
      <w:szCs w:val="32"/>
    </w:rPr>
  </w:style>
  <w:style w:type="character" w:customStyle="1" w:styleId="3Char">
    <w:name w:val="标题 3 Char"/>
    <w:basedOn w:val="a0"/>
    <w:link w:val="3"/>
    <w:uiPriority w:val="9"/>
    <w:rsid w:val="00D06F00"/>
    <w:rPr>
      <w:rFonts w:ascii="Calibri" w:eastAsia="宋体" w:hAnsi="Calibri" w:cs="Times New Roman"/>
      <w:b/>
      <w:bCs/>
      <w:sz w:val="32"/>
      <w:szCs w:val="32"/>
    </w:rPr>
  </w:style>
  <w:style w:type="paragraph" w:customStyle="1" w:styleId="Default">
    <w:name w:val="Default"/>
    <w:rsid w:val="00D06F00"/>
    <w:pPr>
      <w:widowControl w:val="0"/>
      <w:autoSpaceDE w:val="0"/>
      <w:autoSpaceDN w:val="0"/>
      <w:adjustRightInd w:val="0"/>
    </w:pPr>
    <w:rPr>
      <w:rFonts w:ascii="宋体" w:eastAsia="宋体" w:hAnsi="Calibri" w:cs="宋体"/>
      <w:color w:val="000000"/>
      <w:kern w:val="0"/>
      <w:sz w:val="24"/>
      <w:szCs w:val="24"/>
    </w:rPr>
  </w:style>
  <w:style w:type="paragraph" w:styleId="10">
    <w:name w:val="toc 1"/>
    <w:basedOn w:val="a"/>
    <w:next w:val="a"/>
    <w:autoRedefine/>
    <w:uiPriority w:val="39"/>
    <w:unhideWhenUsed/>
    <w:rsid w:val="00D06F00"/>
  </w:style>
  <w:style w:type="paragraph" w:styleId="20">
    <w:name w:val="toc 2"/>
    <w:basedOn w:val="a"/>
    <w:next w:val="a"/>
    <w:autoRedefine/>
    <w:uiPriority w:val="39"/>
    <w:unhideWhenUsed/>
    <w:rsid w:val="00D06F00"/>
    <w:pPr>
      <w:ind w:leftChars="200" w:left="420"/>
    </w:pPr>
  </w:style>
  <w:style w:type="character" w:styleId="a3">
    <w:name w:val="Hyperlink"/>
    <w:uiPriority w:val="99"/>
    <w:unhideWhenUsed/>
    <w:rsid w:val="00D06F00"/>
    <w:rPr>
      <w:color w:val="0000FF"/>
      <w:u w:val="single"/>
    </w:rPr>
  </w:style>
  <w:style w:type="paragraph" w:styleId="30">
    <w:name w:val="toc 3"/>
    <w:basedOn w:val="a"/>
    <w:next w:val="a"/>
    <w:autoRedefine/>
    <w:uiPriority w:val="39"/>
    <w:unhideWhenUsed/>
    <w:rsid w:val="00D06F00"/>
    <w:pPr>
      <w:ind w:leftChars="400" w:left="840"/>
    </w:pPr>
  </w:style>
  <w:style w:type="paragraph" w:styleId="a4">
    <w:name w:val="header"/>
    <w:basedOn w:val="a"/>
    <w:link w:val="Char"/>
    <w:uiPriority w:val="99"/>
    <w:unhideWhenUsed/>
    <w:rsid w:val="002676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6768C"/>
    <w:rPr>
      <w:rFonts w:ascii="Calibri" w:eastAsia="宋体" w:hAnsi="Calibri" w:cs="Times New Roman"/>
      <w:sz w:val="18"/>
      <w:szCs w:val="18"/>
    </w:rPr>
  </w:style>
  <w:style w:type="paragraph" w:styleId="a5">
    <w:name w:val="footer"/>
    <w:basedOn w:val="a"/>
    <w:link w:val="Char0"/>
    <w:uiPriority w:val="99"/>
    <w:unhideWhenUsed/>
    <w:rsid w:val="0026768C"/>
    <w:pPr>
      <w:tabs>
        <w:tab w:val="center" w:pos="4153"/>
        <w:tab w:val="right" w:pos="8306"/>
      </w:tabs>
      <w:snapToGrid w:val="0"/>
      <w:jc w:val="left"/>
    </w:pPr>
    <w:rPr>
      <w:sz w:val="18"/>
      <w:szCs w:val="18"/>
    </w:rPr>
  </w:style>
  <w:style w:type="character" w:customStyle="1" w:styleId="Char0">
    <w:name w:val="页脚 Char"/>
    <w:basedOn w:val="a0"/>
    <w:link w:val="a5"/>
    <w:uiPriority w:val="99"/>
    <w:rsid w:val="0026768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D209B-51B1-458E-BFEC-2E8B47DCA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13</Pages>
  <Words>1511</Words>
  <Characters>8615</Characters>
  <Application>Microsoft Office Word</Application>
  <DocSecurity>0</DocSecurity>
  <Lines>71</Lines>
  <Paragraphs>20</Paragraphs>
  <ScaleCrop>false</ScaleCrop>
  <Company>china</Company>
  <LinksUpToDate>false</LinksUpToDate>
  <CharactersWithSpaces>10106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lenovo</cp:lastModifiedBy>
  <cp:revision>14</cp:revision>
  <cp:lastPrinted>2016-09-21T07:49:00Z</cp:lastPrinted>
  <dcterms:created xsi:type="dcterms:W3CDTF">2016-07-18T18:59:00Z</dcterms:created>
  <dcterms:modified xsi:type="dcterms:W3CDTF">2016-09-23T03:20:00Z</dcterms:modified>
</cp:coreProperties>
</file>